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25"/>
          <w:szCs w:val="25"/>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color w:val="auto"/>
        </w:rPr>
        <w:t>SECURITIES AND EXCHANGE COMMISSION</w:t>
      </w:r>
    </w:p>
    <w:p>
      <w:pPr>
        <w:spacing w:after="0" w:line="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Washington, D. C. 20549</w:t>
      </w:r>
    </w:p>
    <w:p>
      <w:pPr>
        <w:spacing w:after="0" w:line="162"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32"/>
          <w:szCs w:val="32"/>
          <w:b w:val="1"/>
          <w:bCs w:val="1"/>
          <w:color w:val="auto"/>
        </w:rPr>
        <w:t>FORM 11-K</w:t>
      </w:r>
    </w:p>
    <w:p>
      <w:pPr>
        <w:spacing w:after="0" w:line="241"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(Mark one)</w:t>
      </w:r>
    </w:p>
    <w:p>
      <w:pPr>
        <w:spacing w:after="0" w:line="22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ANNUAL REPORT PURSUANT TO SECTION 15(d) OF THE SECURITIES EXCHANGE ACT OF 1934</w:t>
      </w:r>
    </w:p>
    <w:p>
      <w:pPr>
        <w:spacing w:after="0" w:line="22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u w:val="single" w:color="auto"/>
          <w:color w:val="auto"/>
        </w:rPr>
        <w:t>For the fiscal year ended December 31, 2025</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OR</w:t>
      </w:r>
    </w:p>
    <w:p>
      <w:pPr>
        <w:spacing w:after="0" w:line="207" w:lineRule="exact"/>
        <w:rPr>
          <w:sz w:val="24"/>
          <w:szCs w:val="24"/>
          <w:color w:val="auto"/>
        </w:rPr>
      </w:pPr>
    </w:p>
    <w:p>
      <w:pPr>
        <w:ind w:left="4380" w:right="1599" w:hanging="4372"/>
        <w:spacing w:after="0" w:line="500" w:lineRule="auto"/>
        <w:tabs>
          <w:tab w:leader="none" w:pos="325"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15 (d) OF THE SECURITIES EXCHANGE ACT OF 1934 Commission File Number: 0-3722</w:t>
      </w:r>
    </w:p>
    <w:p>
      <w:pPr>
        <w:spacing w:after="0" w:line="2" w:lineRule="exact"/>
        <w:rPr>
          <w:sz w:val="24"/>
          <w:szCs w:val="24"/>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7"/>
          <w:szCs w:val="17"/>
          <w:color w:val="auto"/>
        </w:rPr>
        <w:t>Full title of the plan and the address of the plan, if different from that of the issuer named below:</w:t>
      </w:r>
    </w:p>
    <w:p>
      <w:pPr>
        <w:spacing w:after="0" w:line="20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43"/>
          <w:szCs w:val="43"/>
          <w:color w:val="auto"/>
        </w:rPr>
        <w:t>Atlantic American Corporation</w:t>
      </w:r>
    </w:p>
    <w:p>
      <w:pPr>
        <w:spacing w:after="0" w:line="50"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8"/>
          <w:szCs w:val="18"/>
          <w:color w:val="auto"/>
        </w:rPr>
        <w:t>401(k) Retirement Savings Plan</w:t>
      </w:r>
    </w:p>
    <w:p>
      <w:pPr>
        <w:spacing w:after="0" w:line="205" w:lineRule="exact"/>
        <w:rPr>
          <w:sz w:val="24"/>
          <w:szCs w:val="24"/>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Times New Roman" w:cs="Times New Roman" w:eastAsia="Times New Roman" w:hAnsi="Times New Roman"/>
          <w:sz w:val="17"/>
          <w:szCs w:val="17"/>
          <w:color w:val="auto"/>
        </w:rPr>
        <w:t>Name of issuer of the securities held pursuant to the plan and the address of its principal executive office:</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Atlantic American Corporation</w:t>
      </w:r>
    </w:p>
    <w:p>
      <w:pPr>
        <w:spacing w:after="0" w:line="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4370 Peachtree Rd., N.E.</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Atlanta, Georgia 30319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414" w:right="1440" w:bottom="1440" w:gutter="0" w:footer="0" w:header="0"/>
        </w:sectPr>
      </w:pPr>
    </w:p>
    <w:bookmarkStart w:id="1" w:name="page2"/>
    <w:bookmarkEnd w:id="1"/>
    <w:p>
      <w:pPr>
        <w:ind w:left="20"/>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-119380</wp:posOffset>
            </wp:positionV>
            <wp:extent cx="71323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Financial Statements and Supplemental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-119380</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Consent of Forvis Mazars,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-119380</wp:posOffset>
            </wp:positionV>
            <wp:extent cx="71323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45"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1"/>
          <w:szCs w:val="1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19"/>
          </w:cols>
          <w:pgMar w:left="340" w:top="374"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PLAN. Pursuant to the requirements of the Securities Exchange Act of 1934, the trustees (or other persons who administer the employee benefit plan) have duly caused this annual report to be signed on its behalf by the undersigned hereunto duly authorized.</w:t>
      </w:r>
    </w:p>
    <w:p>
      <w:pPr>
        <w:spacing w:after="0" w:line="189"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8"/>
          <w:szCs w:val="18"/>
          <w:color w:val="auto"/>
        </w:rPr>
        <w:t>Atlantic American Corporation</w:t>
      </w:r>
    </w:p>
    <w:p>
      <w:pPr>
        <w:spacing w:after="0" w:line="27" w:lineRule="exact"/>
        <w:rPr>
          <w:sz w:val="20"/>
          <w:szCs w:val="20"/>
          <w:color w:val="auto"/>
        </w:rPr>
      </w:pPr>
    </w:p>
    <w:p>
      <w:pPr>
        <w:ind w:left="8420"/>
        <w:spacing w:after="0"/>
        <w:rPr>
          <w:sz w:val="20"/>
          <w:szCs w:val="20"/>
          <w:color w:val="auto"/>
        </w:rPr>
      </w:pPr>
      <w:r>
        <w:rPr>
          <w:rFonts w:ascii="Times New Roman" w:cs="Times New Roman" w:eastAsia="Times New Roman" w:hAnsi="Times New Roman"/>
          <w:sz w:val="18"/>
          <w:szCs w:val="18"/>
          <w:color w:val="auto"/>
        </w:rPr>
        <w:t>401(k) Retirement Savings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5715</wp:posOffset>
            </wp:positionV>
            <wp:extent cx="213423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34235" cy="17145"/>
                    </a:xfrm>
                    <a:prstGeom prst="rect">
                      <a:avLst/>
                    </a:prstGeom>
                    <a:noFill/>
                  </pic:spPr>
                </pic:pic>
              </a:graphicData>
            </a:graphic>
          </wp:anchor>
        </w:drawing>
      </w:r>
    </w:p>
    <w:p>
      <w:pPr>
        <w:ind w:left="9000"/>
        <w:spacing w:after="0"/>
        <w:rPr>
          <w:sz w:val="20"/>
          <w:szCs w:val="20"/>
          <w:color w:val="auto"/>
        </w:rPr>
      </w:pPr>
      <w:r>
        <w:rPr>
          <w:rFonts w:ascii="Times New Roman" w:cs="Times New Roman" w:eastAsia="Times New Roman" w:hAnsi="Times New Roman"/>
          <w:sz w:val="18"/>
          <w:szCs w:val="18"/>
          <w:color w:val="auto"/>
        </w:rPr>
        <w:t>(Name of Plan)</w:t>
      </w:r>
    </w:p>
    <w:p>
      <w:pPr>
        <w:spacing w:after="0" w:line="225" w:lineRule="exact"/>
        <w:rPr>
          <w:sz w:val="20"/>
          <w:szCs w:val="20"/>
          <w:color w:val="auto"/>
        </w:rPr>
      </w:pPr>
    </w:p>
    <w:p>
      <w:pPr>
        <w:ind w:left="20"/>
        <w:spacing w:after="0"/>
        <w:tabs>
          <w:tab w:leader="none" w:pos="8860" w:val="left"/>
        </w:tabs>
        <w:rPr>
          <w:sz w:val="20"/>
          <w:szCs w:val="20"/>
          <w:color w:val="auto"/>
        </w:rPr>
      </w:pPr>
      <w:r>
        <w:rPr>
          <w:rFonts w:ascii="Times New Roman" w:cs="Times New Roman" w:eastAsia="Times New Roman" w:hAnsi="Times New Roman"/>
          <w:sz w:val="18"/>
          <w:szCs w:val="18"/>
          <w:color w:val="auto"/>
        </w:rPr>
        <w:t>June 25, 2026</w:t>
      </w:r>
      <w:r>
        <w:rPr>
          <w:sz w:val="20"/>
          <w:szCs w:val="20"/>
          <w:color w:val="auto"/>
        </w:rPr>
        <w:tab/>
      </w:r>
      <w:r>
        <w:rPr>
          <w:rFonts w:ascii="Times New Roman" w:cs="Times New Roman" w:eastAsia="Times New Roman" w:hAnsi="Times New Roman"/>
          <w:sz w:val="17"/>
          <w:szCs w:val="17"/>
          <w:color w:val="auto"/>
        </w:rPr>
        <w:t>/s/Nickeesha Bates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17145</wp:posOffset>
            </wp:positionV>
            <wp:extent cx="213423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34235" cy="17145"/>
                    </a:xfrm>
                    <a:prstGeom prst="rect">
                      <a:avLst/>
                    </a:prstGeom>
                    <a:noFill/>
                  </pic:spPr>
                </pic:pic>
              </a:graphicData>
            </a:graphic>
          </wp:anchor>
        </w:drawing>
      </w:r>
    </w:p>
    <w:p>
      <w:pPr>
        <w:spacing w:after="0" w:line="16" w:lineRule="exact"/>
        <w:rPr>
          <w:sz w:val="20"/>
          <w:szCs w:val="20"/>
          <w:color w:val="auto"/>
        </w:rPr>
      </w:pPr>
    </w:p>
    <w:p>
      <w:pPr>
        <w:jc w:val="center"/>
        <w:ind w:left="7880"/>
        <w:spacing w:after="0"/>
        <w:rPr>
          <w:sz w:val="20"/>
          <w:szCs w:val="20"/>
          <w:color w:val="auto"/>
        </w:rPr>
      </w:pPr>
      <w:r>
        <w:rPr>
          <w:rFonts w:ascii="Times New Roman" w:cs="Times New Roman" w:eastAsia="Times New Roman" w:hAnsi="Times New Roman"/>
          <w:sz w:val="18"/>
          <w:szCs w:val="18"/>
          <w:color w:val="auto"/>
        </w:rPr>
        <w:t>Nickeesha Bates</w:t>
      </w:r>
    </w:p>
    <w:p>
      <w:pPr>
        <w:spacing w:after="0" w:line="27" w:lineRule="exact"/>
        <w:rPr>
          <w:sz w:val="20"/>
          <w:szCs w:val="20"/>
          <w:color w:val="auto"/>
        </w:rPr>
      </w:pPr>
    </w:p>
    <w:p>
      <w:pPr>
        <w:jc w:val="center"/>
        <w:ind w:left="7880"/>
        <w:spacing w:after="0"/>
        <w:rPr>
          <w:sz w:val="20"/>
          <w:szCs w:val="20"/>
          <w:color w:val="auto"/>
        </w:rPr>
      </w:pPr>
      <w:r>
        <w:rPr>
          <w:rFonts w:ascii="Times New Roman" w:cs="Times New Roman" w:eastAsia="Times New Roman" w:hAnsi="Times New Roman"/>
          <w:sz w:val="18"/>
          <w:szCs w:val="18"/>
          <w:color w:val="auto"/>
        </w:rPr>
        <w:t>Vice President, Corporate Controller</w:t>
      </w:r>
    </w:p>
    <w:p>
      <w:pPr>
        <w:spacing w:after="0" w:line="9" w:lineRule="exact"/>
        <w:rPr>
          <w:sz w:val="20"/>
          <w:szCs w:val="20"/>
          <w:color w:val="auto"/>
        </w:rPr>
      </w:pPr>
    </w:p>
    <w:p>
      <w:pPr>
        <w:jc w:val="center"/>
        <w:ind w:left="7880"/>
        <w:spacing w:after="0"/>
        <w:rPr>
          <w:sz w:val="20"/>
          <w:szCs w:val="20"/>
          <w:color w:val="auto"/>
        </w:rPr>
      </w:pPr>
      <w:r>
        <w:rPr>
          <w:rFonts w:ascii="Times New Roman" w:cs="Times New Roman" w:eastAsia="Times New Roman" w:hAnsi="Times New Roman"/>
          <w:sz w:val="18"/>
          <w:szCs w:val="18"/>
          <w:color w:val="auto"/>
        </w:rPr>
        <w:t>Atlantic American Corporation</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ATLANTIC AMERICAN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401(k) RETIREMENT SAVINGS PLAN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herewith:</w:t>
      </w:r>
    </w:p>
    <w:p>
      <w:pPr>
        <w:spacing w:after="0" w:line="252" w:lineRule="exact"/>
        <w:rPr>
          <w:sz w:val="20"/>
          <w:szCs w:val="20"/>
          <w:color w:val="auto"/>
        </w:rPr>
      </w:pPr>
    </w:p>
    <w:p>
      <w:pPr>
        <w:ind w:left="20"/>
        <w:spacing w:after="0"/>
        <w:tabs>
          <w:tab w:leader="none" w:pos="1140" w:val="left"/>
        </w:tabs>
        <w:rPr>
          <w:sz w:val="20"/>
          <w:szCs w:val="20"/>
          <w:color w:val="auto"/>
        </w:rPr>
      </w:pPr>
      <w:r>
        <w:rPr>
          <w:rFonts w:ascii="Times New Roman" w:cs="Times New Roman" w:eastAsia="Times New Roman" w:hAnsi="Times New Roman"/>
          <w:sz w:val="18"/>
          <w:szCs w:val="18"/>
          <w:u w:val="single" w:color="auto"/>
          <w:color w:val="0000EE"/>
        </w:rPr>
        <w:t>Exhibit 1</w:t>
      </w:r>
      <w:r>
        <w:rPr>
          <w:rFonts w:ascii="Times New Roman" w:cs="Times New Roman" w:eastAsia="Times New Roman" w:hAnsi="Times New Roman"/>
          <w:sz w:val="18"/>
          <w:szCs w:val="18"/>
          <w:color w:val="000000"/>
        </w:rPr>
        <w:t>:</w:t>
      </w:r>
      <w:r>
        <w:rPr>
          <w:sz w:val="20"/>
          <w:szCs w:val="20"/>
          <w:color w:val="auto"/>
        </w:rPr>
        <w:tab/>
      </w:r>
      <w:r>
        <w:rPr>
          <w:rFonts w:ascii="Times New Roman" w:cs="Times New Roman" w:eastAsia="Times New Roman" w:hAnsi="Times New Roman"/>
          <w:sz w:val="17"/>
          <w:szCs w:val="17"/>
          <w:color w:val="auto"/>
        </w:rPr>
        <w:t>Financial Statements and Supplemental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548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spacing w:after="0" w:line="205" w:lineRule="exact"/>
        <w:rPr>
          <w:sz w:val="20"/>
          <w:szCs w:val="20"/>
          <w:color w:val="auto"/>
        </w:rPr>
      </w:pPr>
    </w:p>
    <w:p>
      <w:pPr>
        <w:ind w:left="1160"/>
        <w:spacing w:after="0" w:line="282" w:lineRule="auto"/>
        <w:rPr>
          <w:sz w:val="20"/>
          <w:szCs w:val="20"/>
          <w:color w:val="auto"/>
        </w:rPr>
      </w:pPr>
      <w:r>
        <w:rPr>
          <w:rFonts w:ascii="Times New Roman" w:cs="Times New Roman" w:eastAsia="Times New Roman" w:hAnsi="Times New Roman"/>
          <w:sz w:val="18"/>
          <w:szCs w:val="18"/>
          <w:color w:val="auto"/>
        </w:rPr>
        <w:t>As of December 31, 2025 and 2024 and for the year ended December 31, 2025 together with Report of Independent Registered Public Accounting Firm</w:t>
      </w:r>
    </w:p>
    <w:p>
      <w:pPr>
        <w:spacing w:after="0" w:line="162" w:lineRule="exact"/>
        <w:rPr>
          <w:sz w:val="20"/>
          <w:szCs w:val="20"/>
          <w:color w:val="auto"/>
        </w:rPr>
      </w:pPr>
    </w:p>
    <w:p>
      <w:pPr>
        <w:ind w:left="20"/>
        <w:spacing w:after="0"/>
        <w:tabs>
          <w:tab w:leader="none" w:pos="1140" w:val="left"/>
        </w:tabs>
        <w:rPr>
          <w:sz w:val="20"/>
          <w:szCs w:val="20"/>
          <w:color w:val="auto"/>
        </w:rPr>
      </w:pPr>
      <w:r>
        <w:rPr>
          <w:rFonts w:ascii="Times New Roman" w:cs="Times New Roman" w:eastAsia="Times New Roman" w:hAnsi="Times New Roman"/>
          <w:sz w:val="18"/>
          <w:szCs w:val="18"/>
          <w:u w:val="single" w:color="auto"/>
          <w:color w:val="0000EE"/>
        </w:rPr>
        <w:t>Exhibit 2</w:t>
      </w:r>
      <w:r>
        <w:rPr>
          <w:rFonts w:ascii="Times New Roman" w:cs="Times New Roman" w:eastAsia="Times New Roman" w:hAnsi="Times New Roman"/>
          <w:sz w:val="18"/>
          <w:szCs w:val="18"/>
          <w:color w:val="000000"/>
        </w:rPr>
        <w:t>:</w:t>
      </w:r>
      <w:r>
        <w:rPr>
          <w:sz w:val="20"/>
          <w:szCs w:val="20"/>
          <w:color w:val="auto"/>
        </w:rPr>
        <w:tab/>
      </w:r>
      <w:r>
        <w:rPr>
          <w:rFonts w:ascii="Times New Roman" w:cs="Times New Roman" w:eastAsia="Times New Roman" w:hAnsi="Times New Roman"/>
          <w:sz w:val="17"/>
          <w:szCs w:val="17"/>
          <w:color w:val="auto"/>
        </w:rPr>
        <w:t>Consent of Forvis Mazars,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4114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20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Independent Registered Public Accounting Firm</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74" w:right="35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ATLANTIC AMERICAN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401(k) RETIREMENT SAVINGS PLAN</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SUPPLEMENTAL SCHEDULE</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As of December 31, 2025 and 2024 and For The Year Ended December 31, 2025</w:t>
      </w:r>
    </w:p>
    <w:p>
      <w:pPr>
        <w:spacing w:after="0" w:line="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together</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with</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40005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90" w:right="1440"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ATLANTIC AMERICAN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401(k) RETIREMENT SAVINGS PLAN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700" w:type="dxa"/>
            <w:vAlign w:val="bottom"/>
            <w:gridSpan w:val="2"/>
          </w:tcPr>
          <w:p>
            <w:pPr>
              <w:jc w:val="center"/>
              <w:ind w:right="1886"/>
              <w:spacing w:after="0"/>
              <w:rPr>
                <w:sz w:val="20"/>
                <w:szCs w:val="20"/>
                <w:color w:val="auto"/>
              </w:rPr>
            </w:pPr>
            <w:r>
              <w:rPr>
                <w:rFonts w:ascii="Times New Roman" w:cs="Times New Roman" w:eastAsia="Times New Roman" w:hAnsi="Times New Roman"/>
                <w:sz w:val="18"/>
                <w:szCs w:val="18"/>
                <w:b w:val="1"/>
                <w:bCs w:val="1"/>
                <w:color w:val="auto"/>
              </w:rPr>
              <w:t>December 31, 2025 and 2024</w:t>
            </w:r>
          </w:p>
        </w:tc>
        <w:tc>
          <w:tcPr>
            <w:tcW w:w="2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4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8940" w:type="dxa"/>
            <w:vAlign w:val="bottom"/>
            <w:gridSpan w:val="7"/>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Report of Independent Registered Public Accounting Firm</w:t>
            </w:r>
          </w:p>
        </w:tc>
        <w:tc>
          <w:tcPr>
            <w:tcW w:w="23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40" w:type="dxa"/>
            <w:vAlign w:val="bottom"/>
            <w:tcBorders>
              <w:top w:val="single" w:sz="8" w:color="0000EE"/>
            </w:tcBorders>
          </w:tcPr>
          <w:p>
            <w:pPr>
              <w:spacing w:after="0"/>
              <w:rPr>
                <w:sz w:val="18"/>
                <w:szCs w:val="18"/>
                <w:color w:val="auto"/>
              </w:rPr>
            </w:pPr>
          </w:p>
        </w:tc>
        <w:tc>
          <w:tcPr>
            <w:tcW w:w="128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240" w:type="dxa"/>
            <w:vAlign w:val="bottom"/>
            <w:tcBorders>
              <w:top w:val="single" w:sz="8" w:color="CCEEFF"/>
            </w:tcBorders>
          </w:tcPr>
          <w:p>
            <w:pPr>
              <w:spacing w:after="0"/>
              <w:rPr>
                <w:sz w:val="18"/>
                <w:szCs w:val="18"/>
                <w:color w:val="auto"/>
              </w:rPr>
            </w:pPr>
          </w:p>
        </w:tc>
        <w:tc>
          <w:tcPr>
            <w:tcW w:w="23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940" w:type="dxa"/>
            <w:vAlign w:val="bottom"/>
            <w:gridSpan w:val="7"/>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Statements of Net Assets Available for Benefits</w:t>
            </w:r>
          </w:p>
        </w:tc>
        <w:tc>
          <w:tcPr>
            <w:tcW w:w="23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40" w:type="dxa"/>
            <w:vAlign w:val="bottom"/>
            <w:tcBorders>
              <w:top w:val="single" w:sz="8" w:color="0000EE"/>
            </w:tcBorders>
          </w:tcPr>
          <w:p>
            <w:pPr>
              <w:spacing w:after="0"/>
              <w:rPr>
                <w:sz w:val="18"/>
                <w:szCs w:val="18"/>
                <w:color w:val="auto"/>
              </w:rPr>
            </w:pPr>
          </w:p>
        </w:tc>
        <w:tc>
          <w:tcPr>
            <w:tcW w:w="1280" w:type="dxa"/>
            <w:vAlign w:val="bottom"/>
            <w:tcBorders>
              <w:top w:val="single" w:sz="8" w:color="0000EE"/>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240" w:type="dxa"/>
            <w:vAlign w:val="bottom"/>
            <w:tcBorders>
              <w:top w:val="single" w:sz="8" w:color="CCEEFF"/>
            </w:tcBorders>
          </w:tcPr>
          <w:p>
            <w:pPr>
              <w:spacing w:after="0"/>
              <w:rPr>
                <w:sz w:val="18"/>
                <w:szCs w:val="18"/>
                <w:color w:val="auto"/>
              </w:rPr>
            </w:pPr>
          </w:p>
        </w:tc>
        <w:tc>
          <w:tcPr>
            <w:tcW w:w="23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940" w:type="dxa"/>
            <w:vAlign w:val="bottom"/>
            <w:gridSpan w:val="7"/>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Statement of Changes in Net Assets Available for Benefits</w:t>
            </w:r>
          </w:p>
        </w:tc>
        <w:tc>
          <w:tcPr>
            <w:tcW w:w="23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40" w:type="dxa"/>
            <w:vAlign w:val="bottom"/>
            <w:tcBorders>
              <w:top w:val="single" w:sz="8" w:color="0000EE"/>
            </w:tcBorders>
          </w:tcPr>
          <w:p>
            <w:pPr>
              <w:spacing w:after="0"/>
              <w:rPr>
                <w:sz w:val="18"/>
                <w:szCs w:val="18"/>
                <w:color w:val="auto"/>
              </w:rPr>
            </w:pPr>
          </w:p>
        </w:tc>
        <w:tc>
          <w:tcPr>
            <w:tcW w:w="128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240" w:type="dxa"/>
            <w:vAlign w:val="bottom"/>
            <w:tcBorders>
              <w:top w:val="single" w:sz="8" w:color="CCEEFF"/>
            </w:tcBorders>
          </w:tcPr>
          <w:p>
            <w:pPr>
              <w:spacing w:after="0"/>
              <w:rPr>
                <w:sz w:val="18"/>
                <w:szCs w:val="18"/>
                <w:color w:val="auto"/>
              </w:rPr>
            </w:pPr>
          </w:p>
        </w:tc>
        <w:tc>
          <w:tcPr>
            <w:tcW w:w="23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940" w:type="dxa"/>
            <w:vAlign w:val="bottom"/>
            <w:gridSpan w:val="7"/>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Notes to Financial Statements</w:t>
            </w:r>
          </w:p>
        </w:tc>
        <w:tc>
          <w:tcPr>
            <w:tcW w:w="23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40" w:type="dxa"/>
            <w:vAlign w:val="bottom"/>
            <w:tcBorders>
              <w:top w:val="single" w:sz="8" w:color="0000EE"/>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240" w:type="dxa"/>
            <w:vAlign w:val="bottom"/>
            <w:tcBorders>
              <w:top w:val="single" w:sz="8" w:color="CCEEFF"/>
            </w:tcBorders>
          </w:tcPr>
          <w:p>
            <w:pPr>
              <w:spacing w:after="0"/>
              <w:rPr>
                <w:sz w:val="18"/>
                <w:szCs w:val="18"/>
                <w:color w:val="auto"/>
              </w:rPr>
            </w:pPr>
          </w:p>
        </w:tc>
        <w:tc>
          <w:tcPr>
            <w:tcW w:w="230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Supplemental Schedule:</w:t>
            </w:r>
          </w:p>
        </w:tc>
        <w:tc>
          <w:tcPr>
            <w:tcW w:w="2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Schedule H, Line 4i - Schedule of Assets (Held at End of Year)</w:t>
            </w:r>
          </w:p>
        </w:tc>
        <w:tc>
          <w:tcPr>
            <w:tcW w:w="23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66"/>
        </w:trPr>
        <w:tc>
          <w:tcPr>
            <w:tcW w:w="140" w:type="dxa"/>
            <w:vAlign w:val="bottom"/>
            <w:tcBorders>
              <w:top w:val="single" w:sz="8" w:color="CCEEFF"/>
            </w:tcBorders>
            <w:gridSpan w:val="2"/>
          </w:tcPr>
          <w:p>
            <w:pPr>
              <w:spacing w:after="0"/>
              <w:rPr>
                <w:sz w:val="24"/>
                <w:szCs w:val="24"/>
                <w:color w:val="auto"/>
              </w:rPr>
            </w:pPr>
          </w:p>
        </w:tc>
        <w:tc>
          <w:tcPr>
            <w:tcW w:w="4560" w:type="dxa"/>
            <w:vAlign w:val="bottom"/>
            <w:tcBorders>
              <w:top w:val="single" w:sz="8" w:color="0000EE"/>
            </w:tcBorders>
            <w:gridSpan w:val="4"/>
          </w:tcPr>
          <w:p>
            <w:pPr>
              <w:spacing w:after="0"/>
              <w:rPr>
                <w:sz w:val="24"/>
                <w:szCs w:val="24"/>
                <w:color w:val="auto"/>
              </w:rPr>
            </w:pPr>
          </w:p>
        </w:tc>
        <w:tc>
          <w:tcPr>
            <w:tcW w:w="4240" w:type="dxa"/>
            <w:vAlign w:val="bottom"/>
            <w:tcBorders>
              <w:top w:val="single" w:sz="8" w:color="CCEEFF"/>
            </w:tcBorders>
          </w:tcPr>
          <w:p>
            <w:pPr>
              <w:jc w:val="right"/>
              <w:ind w:right="3226"/>
              <w:spacing w:after="0"/>
              <w:rPr>
                <w:sz w:val="20"/>
                <w:szCs w:val="20"/>
                <w:color w:val="auto"/>
              </w:rPr>
            </w:pPr>
            <w:r>
              <w:rPr>
                <w:rFonts w:ascii="Times New Roman" w:cs="Times New Roman" w:eastAsia="Times New Roman" w:hAnsi="Times New Roman"/>
                <w:sz w:val="11"/>
                <w:szCs w:val="11"/>
                <w:color w:val="auto"/>
              </w:rPr>
              <w:t>2</w:t>
            </w:r>
          </w:p>
        </w:tc>
        <w:tc>
          <w:tcPr>
            <w:tcW w:w="230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
        </w:trPr>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4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4240" w:type="dxa"/>
            <w:vAlign w:val="bottom"/>
            <w:tcBorders>
              <w:bottom w:val="single" w:sz="8" w:color="auto"/>
            </w:tcBorders>
          </w:tcPr>
          <w:p>
            <w:pPr>
              <w:spacing w:after="0"/>
              <w:rPr>
                <w:sz w:val="4"/>
                <w:szCs w:val="4"/>
                <w:color w:val="auto"/>
              </w:rPr>
            </w:pPr>
          </w:p>
        </w:tc>
        <w:tc>
          <w:tcPr>
            <w:tcW w:w="230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7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Committee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Atlantic American Corporation 401(k) Retirement Savings Plan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statements of net assets available for benefits of Atlantic American Corporation 401k Retirement Savings Plan (the “Plan”) as of December 31, 2025 and 2024, the related statements of changes in net assets available for benefits for the years then ended, and the related notes (collectively referred to as the “financial statements”). In our opinion, the financial statements referred to above present fairly, in all material respects, the net assets available for benefits of the Plan as of December 31, 2025 and 2024, and the changes in net assets available for benefits for the years then ended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Opinion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financial statements are the responsibility of the Plan’s management. Our responsibility is to express an opinion on these financial statements based on our audits.</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Plan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Plan’s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Report on Supplemental Information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supplemental information in the accompanying schedule of assets (held at end of year) and schedule of reportable transactions as of December 31, 2025 has been subjected to audit procedures performed in conjunction with the audit of the Plan’s financial statements. The supplemental schedules are the responsibility of the Plan’s management. Our audit procedures included determining whether the supplemental schedules reconcile to the financial statements or the underlying accounting and other records, as applicable, and performing procedures to test the completeness and accuracy of the information presented in the supplemental schedules. In forming our opinion on the supplemental schedules, we evaluated whether the supplemental schedules, including their form and content, is presented in conformity with the Department of Labor’s Rules and Regulations for Reporting and Disclosure under the Employee Retirement Income Security Act of 1974. In our opinion, the supplemental schedules are fairly stated, in all material respects, in relation to the basic financial statements taken as a whole.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Forvis Mazars,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Plan’s auditor since 2019.</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Atlanta, GA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June 25, 2026</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ATLANTIC AMERICAN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401(k) RETIREMENT SAVINGS PLAN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0" w:type="dxa"/>
            <w:vAlign w:val="bottom"/>
          </w:tcPr>
          <w:p>
            <w:pPr>
              <w:spacing w:after="0"/>
              <w:rPr>
                <w:sz w:val="20"/>
                <w:szCs w:val="20"/>
                <w:color w:val="auto"/>
              </w:rPr>
            </w:pPr>
          </w:p>
        </w:tc>
        <w:tc>
          <w:tcPr>
            <w:tcW w:w="8000" w:type="dxa"/>
            <w:vAlign w:val="bottom"/>
          </w:tcPr>
          <w:p>
            <w:pPr>
              <w:jc w:val="center"/>
              <w:ind w:left="1810"/>
              <w:spacing w:after="0"/>
              <w:rPr>
                <w:sz w:val="20"/>
                <w:szCs w:val="20"/>
                <w:color w:val="auto"/>
              </w:rPr>
            </w:pPr>
            <w:r>
              <w:rPr>
                <w:rFonts w:ascii="Times New Roman" w:cs="Times New Roman" w:eastAsia="Times New Roman" w:hAnsi="Times New Roman"/>
                <w:sz w:val="18"/>
                <w:szCs w:val="18"/>
                <w:b w:val="1"/>
                <w:bCs w:val="1"/>
                <w:color w:val="auto"/>
                <w:w w:val="98"/>
              </w:rPr>
              <w:t>STATEMENTS OF NET ASSETS AVAILABLE FOR BENEFITS</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80" w:type="dxa"/>
            <w:vAlign w:val="bottom"/>
          </w:tcPr>
          <w:p>
            <w:pPr>
              <w:spacing w:after="0"/>
              <w:rPr>
                <w:sz w:val="24"/>
                <w:szCs w:val="24"/>
                <w:color w:val="auto"/>
              </w:rPr>
            </w:pPr>
          </w:p>
        </w:tc>
        <w:tc>
          <w:tcPr>
            <w:tcW w:w="8000" w:type="dxa"/>
            <w:vAlign w:val="bottom"/>
          </w:tcPr>
          <w:p>
            <w:pPr>
              <w:jc w:val="center"/>
              <w:ind w:left="1790"/>
              <w:spacing w:after="0"/>
              <w:rPr>
                <w:sz w:val="20"/>
                <w:szCs w:val="20"/>
                <w:color w:val="auto"/>
              </w:rPr>
            </w:pPr>
            <w:r>
              <w:rPr>
                <w:rFonts w:ascii="Times New Roman" w:cs="Times New Roman" w:eastAsia="Times New Roman" w:hAnsi="Times New Roman"/>
                <w:sz w:val="18"/>
                <w:szCs w:val="18"/>
                <w:b w:val="1"/>
                <w:bCs w:val="1"/>
                <w:color w:val="auto"/>
              </w:rPr>
              <w:t>December 31, 2025 and 2024</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w w:val="98"/>
              </w:rPr>
              <w:t>ASSETS</w:t>
            </w:r>
          </w:p>
        </w:tc>
        <w:tc>
          <w:tcPr>
            <w:tcW w:w="8000" w:type="dxa"/>
            <w:vAlign w:val="bottom"/>
            <w:vMerge w:val="restart"/>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680" w:type="dxa"/>
            <w:vAlign w:val="bottom"/>
            <w:tcBorders>
              <w:bottom w:val="single" w:sz="8" w:color="auto"/>
            </w:tcBorders>
            <w:vMerge w:val="continue"/>
          </w:tcPr>
          <w:p>
            <w:pPr>
              <w:spacing w:after="0"/>
              <w:rPr>
                <w:sz w:val="14"/>
                <w:szCs w:val="14"/>
                <w:color w:val="auto"/>
              </w:rPr>
            </w:pPr>
          </w:p>
        </w:tc>
        <w:tc>
          <w:tcPr>
            <w:tcW w:w="80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Investments, at fair value (Note 3):</w:t>
            </w: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Common/collective trusts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10,702,092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10,410,900</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Employer common stock fund</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951,473</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554,930</w:t>
            </w:r>
          </w:p>
        </w:tc>
        <w:tc>
          <w:tcPr>
            <w:tcW w:w="0" w:type="dxa"/>
            <w:vAlign w:val="bottom"/>
          </w:tcPr>
          <w:p>
            <w:pPr>
              <w:spacing w:after="0"/>
              <w:rPr>
                <w:sz w:val="1"/>
                <w:szCs w:val="1"/>
                <w:color w:val="auto"/>
              </w:rPr>
            </w:pPr>
          </w:p>
        </w:tc>
      </w:tr>
      <w:tr>
        <w:trPr>
          <w:trHeight w:val="236"/>
        </w:trPr>
        <w:tc>
          <w:tcPr>
            <w:tcW w:w="8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Registered investment companies</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19,677,488</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17,447,356</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gridSpan w:val="2"/>
          </w:tcPr>
          <w:p>
            <w:pPr>
              <w:ind w:left="280"/>
              <w:spacing w:after="0" w:line="203" w:lineRule="exact"/>
              <w:rPr>
                <w:sz w:val="20"/>
                <w:szCs w:val="20"/>
                <w:color w:val="auto"/>
              </w:rPr>
            </w:pPr>
            <w:r>
              <w:rPr>
                <w:rFonts w:ascii="Times New Roman" w:cs="Times New Roman" w:eastAsia="Times New Roman" w:hAnsi="Times New Roman"/>
                <w:sz w:val="18"/>
                <w:szCs w:val="18"/>
                <w:color w:val="auto"/>
              </w:rPr>
              <w:t>Total investments</w:t>
            </w: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31,331,053</w:t>
            </w:r>
          </w:p>
        </w:tc>
        <w:tc>
          <w:tcPr>
            <w:tcW w:w="2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28,413,186</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Receivables: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Notes receivable from participants</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161,006</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89,240</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Contributions receivable:</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Participant</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34,381</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Employer</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687,589</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681,693</w:t>
            </w:r>
          </w:p>
        </w:tc>
        <w:tc>
          <w:tcPr>
            <w:tcW w:w="0" w:type="dxa"/>
            <w:vAlign w:val="bottom"/>
          </w:tcPr>
          <w:p>
            <w:pPr>
              <w:spacing w:after="0"/>
              <w:rPr>
                <w:sz w:val="1"/>
                <w:szCs w:val="1"/>
                <w:color w:val="auto"/>
              </w:rPr>
            </w:pPr>
          </w:p>
        </w:tc>
      </w:tr>
      <w:tr>
        <w:trPr>
          <w:trHeight w:val="216"/>
        </w:trPr>
        <w:tc>
          <w:tcPr>
            <w:tcW w:w="680" w:type="dxa"/>
            <w:vAlign w:val="bottom"/>
            <w:tcBorders>
              <w:top w:val="single" w:sz="8" w:color="CCEEFF"/>
            </w:tcBorders>
          </w:tcPr>
          <w:p>
            <w:pPr>
              <w:spacing w:after="0"/>
              <w:rPr>
                <w:sz w:val="18"/>
                <w:szCs w:val="18"/>
                <w:color w:val="auto"/>
              </w:rPr>
            </w:pPr>
          </w:p>
        </w:tc>
        <w:tc>
          <w:tcPr>
            <w:tcW w:w="80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ASSETS AVAILABLE FOR BENEFITS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32,214,029</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29,184,119</w:t>
            </w:r>
          </w:p>
        </w:tc>
        <w:tc>
          <w:tcPr>
            <w:tcW w:w="0" w:type="dxa"/>
            <w:vAlign w:val="bottom"/>
          </w:tcPr>
          <w:p>
            <w:pPr>
              <w:spacing w:after="0"/>
              <w:rPr>
                <w:sz w:val="1"/>
                <w:szCs w:val="1"/>
                <w:color w:val="auto"/>
              </w:rPr>
            </w:pPr>
          </w:p>
        </w:tc>
      </w:tr>
      <w:tr>
        <w:trPr>
          <w:trHeight w:val="20"/>
        </w:trPr>
        <w:tc>
          <w:tcPr>
            <w:tcW w:w="680" w:type="dxa"/>
            <w:vAlign w:val="bottom"/>
            <w:tcBorders>
              <w:top w:val="single" w:sz="8" w:color="CCEEFF"/>
            </w:tcBorders>
          </w:tcPr>
          <w:p>
            <w:pPr>
              <w:spacing w:after="0" w:line="20" w:lineRule="exact"/>
              <w:rPr>
                <w:sz w:val="1"/>
                <w:szCs w:val="1"/>
                <w:color w:val="auto"/>
              </w:rPr>
            </w:pPr>
          </w:p>
        </w:tc>
        <w:tc>
          <w:tcPr>
            <w:tcW w:w="8000" w:type="dxa"/>
            <w:vAlign w:val="bottom"/>
            <w:tcBorders>
              <w:top w:val="single" w:sz="8" w:color="CCEEFF"/>
              <w:bottom w:val="single" w:sz="8" w:color="CCEEFF"/>
            </w:tcBorders>
            <w:vMerge w:val="restart"/>
          </w:tcPr>
          <w:p>
            <w:pPr>
              <w:jc w:val="center"/>
              <w:ind w:left="1790"/>
              <w:spacing w:after="0"/>
              <w:rPr>
                <w:sz w:val="20"/>
                <w:szCs w:val="20"/>
                <w:color w:val="auto"/>
              </w:rPr>
            </w:pPr>
            <w:r>
              <w:rPr>
                <w:rFonts w:ascii="Times New Roman" w:cs="Times New Roman" w:eastAsia="Times New Roman" w:hAnsi="Times New Roman"/>
                <w:sz w:val="18"/>
                <w:szCs w:val="18"/>
                <w:color w:val="auto"/>
                <w:w w:val="99"/>
              </w:rPr>
              <w:t>See accompanying notes to financial statements.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680" w:type="dxa"/>
            <w:vAlign w:val="bottom"/>
          </w:tcPr>
          <w:p>
            <w:pPr>
              <w:spacing w:after="0"/>
              <w:rPr>
                <w:sz w:val="24"/>
                <w:szCs w:val="24"/>
                <w:color w:val="auto"/>
              </w:rPr>
            </w:pPr>
          </w:p>
        </w:tc>
        <w:tc>
          <w:tcPr>
            <w:tcW w:w="80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9"/>
              </w:rPr>
              <w:t>ATLANTIC AMERICAN CORPORATION</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0020" w:type="dxa"/>
            <w:vAlign w:val="bottom"/>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9"/>
              </w:rPr>
              <w:t>401(k) RETIREMENT SAVINGS PLAN</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020" w:type="dxa"/>
            <w:vAlign w:val="bottom"/>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8"/>
              </w:rPr>
              <w:t>STATEMENT OF CHANGES IN NET ASSETS AVAILABLE FOR BENEFITS</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020" w:type="dxa"/>
            <w:vAlign w:val="bottom"/>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9"/>
              </w:rPr>
              <w:t>For the Year Ended December 31, 2025</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0"/>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Additions to Net Assets</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Contributions:</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Participant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1,301,702</w:t>
            </w:r>
          </w:p>
        </w:tc>
        <w:tc>
          <w:tcPr>
            <w:tcW w:w="0" w:type="dxa"/>
            <w:vAlign w:val="bottom"/>
          </w:tcPr>
          <w:p>
            <w:pPr>
              <w:spacing w:after="0"/>
              <w:rPr>
                <w:sz w:val="1"/>
                <w:szCs w:val="1"/>
                <w:color w:val="auto"/>
              </w:rPr>
            </w:pPr>
          </w:p>
        </w:tc>
      </w:tr>
      <w:tr>
        <w:trPr>
          <w:trHeight w:val="216"/>
        </w:trPr>
        <w:tc>
          <w:tcPr>
            <w:tcW w:w="10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Employer</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982,783</w:t>
            </w:r>
          </w:p>
        </w:tc>
        <w:tc>
          <w:tcPr>
            <w:tcW w:w="0" w:type="dxa"/>
            <w:vAlign w:val="bottom"/>
          </w:tcPr>
          <w:p>
            <w:pPr>
              <w:spacing w:after="0"/>
              <w:rPr>
                <w:sz w:val="1"/>
                <w:szCs w:val="1"/>
                <w:color w:val="auto"/>
              </w:rPr>
            </w:pPr>
          </w:p>
        </w:tc>
      </w:tr>
      <w:tr>
        <w:trPr>
          <w:trHeight w:val="223"/>
        </w:trPr>
        <w:tc>
          <w:tcPr>
            <w:tcW w:w="10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Rollovers</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166,519</w:t>
            </w:r>
          </w:p>
        </w:tc>
        <w:tc>
          <w:tcPr>
            <w:tcW w:w="0" w:type="dxa"/>
            <w:vAlign w:val="bottom"/>
          </w:tcPr>
          <w:p>
            <w:pPr>
              <w:spacing w:after="0"/>
              <w:rPr>
                <w:sz w:val="1"/>
                <w:szCs w:val="1"/>
                <w:color w:val="auto"/>
              </w:rPr>
            </w:pPr>
          </w:p>
        </w:tc>
      </w:tr>
      <w:tr>
        <w:trPr>
          <w:trHeight w:val="216"/>
        </w:trPr>
        <w:tc>
          <w:tcPr>
            <w:tcW w:w="100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CONTRIBUTIONS</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2,451,004</w:t>
            </w: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Investment income:</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appreciation in fair value of investments</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3,894,311</w:t>
            </w: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Dividends and other income</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238,471</w:t>
            </w:r>
          </w:p>
        </w:tc>
        <w:tc>
          <w:tcPr>
            <w:tcW w:w="0" w:type="dxa"/>
            <w:vAlign w:val="bottom"/>
          </w:tcPr>
          <w:p>
            <w:pPr>
              <w:spacing w:after="0"/>
              <w:rPr>
                <w:sz w:val="1"/>
                <w:szCs w:val="1"/>
                <w:color w:val="auto"/>
              </w:rPr>
            </w:pPr>
          </w:p>
        </w:tc>
      </w:tr>
      <w:tr>
        <w:trPr>
          <w:trHeight w:val="223"/>
        </w:trPr>
        <w:tc>
          <w:tcPr>
            <w:tcW w:w="10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 on notes receivable from participants</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8,735</w:t>
            </w: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0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ADDITIONS</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6,592,521</w:t>
            </w: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Deductions from Net Assets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Benefit payments to participants</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3,510,207</w:t>
            </w:r>
          </w:p>
        </w:tc>
        <w:tc>
          <w:tcPr>
            <w:tcW w:w="0" w:type="dxa"/>
            <w:vAlign w:val="bottom"/>
          </w:tcPr>
          <w:p>
            <w:pPr>
              <w:spacing w:after="0"/>
              <w:rPr>
                <w:sz w:val="1"/>
                <w:szCs w:val="1"/>
                <w:color w:val="auto"/>
              </w:rPr>
            </w:pPr>
          </w:p>
        </w:tc>
      </w:tr>
      <w:tr>
        <w:trPr>
          <w:trHeight w:val="223"/>
        </w:trPr>
        <w:tc>
          <w:tcPr>
            <w:tcW w:w="10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Fees</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52,404</w:t>
            </w: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0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DEDUCTIONS</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3,562,611</w:t>
            </w: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Increase</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3,029,910</w:t>
            </w: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Assets Available for Benefits at Beginning of Year</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29,184,119</w:t>
            </w: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Assets Available for Benefits at End of Year</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32,214,029</w:t>
            </w:r>
          </w:p>
        </w:tc>
        <w:tc>
          <w:tcPr>
            <w:tcW w:w="0" w:type="dxa"/>
            <w:vAlign w:val="bottom"/>
          </w:tcPr>
          <w:p>
            <w:pPr>
              <w:spacing w:after="0"/>
              <w:rPr>
                <w:sz w:val="1"/>
                <w:szCs w:val="1"/>
                <w:color w:val="auto"/>
              </w:rPr>
            </w:pPr>
          </w:p>
        </w:tc>
      </w:tr>
      <w:tr>
        <w:trPr>
          <w:trHeight w:val="21"/>
        </w:trPr>
        <w:tc>
          <w:tcPr>
            <w:tcW w:w="10020" w:type="dxa"/>
            <w:vAlign w:val="bottom"/>
            <w:vMerge w:val="restart"/>
          </w:tcPr>
          <w:p>
            <w:pPr>
              <w:jc w:val="center"/>
              <w:ind w:left="1130"/>
              <w:spacing w:after="0"/>
              <w:rPr>
                <w:sz w:val="20"/>
                <w:szCs w:val="20"/>
                <w:color w:val="auto"/>
              </w:rPr>
            </w:pPr>
            <w:r>
              <w:rPr>
                <w:rFonts w:ascii="Times New Roman" w:cs="Times New Roman" w:eastAsia="Times New Roman" w:hAnsi="Times New Roman"/>
                <w:sz w:val="18"/>
                <w:szCs w:val="18"/>
                <w:color w:val="auto"/>
                <w:w w:val="99"/>
              </w:rPr>
              <w:t>See accompanying notes to financial statements.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5"/>
        </w:trPr>
        <w:tc>
          <w:tcPr>
            <w:tcW w:w="100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ATLANTIC AMERICAN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401(k) RETIREMENT SAVINGS PLAN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1—DESCRIPTION OF THE PLAN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description of the Atlantic American Corporation 401(k) Retirement Savings Plan (the “Plan”) provides only general information. Participating members (“Participants”) should refer to the Plan document for a more complete description of the Plan’s provisions. Information with regard to eligibility, contributions, distributions, vesting, withdrawals, restoration, loans, fund redistribution, and definitions of all terms are contained in that document. The Administrative Committee, consisting of employees of the plan sponsor, is responsible for oversight of the Plan.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Plan is a defined contribution plan available to all U.S. employees of Atlantic American Corporation and its subsidiaries (collectively, the “Company”) except collective bargaining employees, nonresident aliens, and leased employees. Employees eligible to participate are automatically enrolled effective on the date of employment. The Plan is subject to the provisions of the Employee Retirement Income Security Act of 1974, as amended (“ERISA”).</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Participating Companies</w:t>
      </w:r>
      <w:r>
        <w:rPr>
          <w:rFonts w:ascii="Times New Roman" w:cs="Times New Roman" w:eastAsia="Times New Roman" w:hAnsi="Times New Roman"/>
          <w:sz w:val="18"/>
          <w:szCs w:val="18"/>
          <w:color w:val="auto"/>
        </w:rPr>
        <w:t>: As of December 31, 2025 and 2024, the Company had five wholly-owned insurance subsidiaries, Bankers Fidelity Life Insurance Company and its wholly owned subsidiaries, Bankers Fidelity Assurance Company and Atlantic Capital Life Assurance Company, American Southern Insurance Company and its wholly owned subsidiary, American Safety Insurance Company, in addition to one non-insurance company, xCalibre Risk Services, Inc. All employees of these subsidiaries were eligible to participate in the Plan.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Plan Administration</w:t>
      </w:r>
      <w:r>
        <w:rPr>
          <w:rFonts w:ascii="Times New Roman" w:cs="Times New Roman" w:eastAsia="Times New Roman" w:hAnsi="Times New Roman"/>
          <w:sz w:val="18"/>
          <w:szCs w:val="18"/>
          <w:color w:val="auto"/>
        </w:rPr>
        <w:t>: The trustee of the Plan (the “Trustee”) has custodial responsibility for the Plan’s assets, including the authority and power to, among other things, invest the principal and income of the Plan’s assets.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Contributions</w:t>
      </w:r>
      <w:r>
        <w:rPr>
          <w:rFonts w:ascii="Times New Roman" w:cs="Times New Roman" w:eastAsia="Times New Roman" w:hAnsi="Times New Roman"/>
          <w:sz w:val="18"/>
          <w:szCs w:val="18"/>
          <w:color w:val="auto"/>
        </w:rPr>
        <w:t>: Eligible employees automatically become a participant and are enrolled into the Plan at a 6% deferral rate on their date of hire. At any time, a participant may cease his or her contribution or change his or her deferral percentage in 1% increments up to 75% of his or her annual compensation, as defined by the Plan, subject to certain limitations under the Internal Revenue Code (the “Code”), and elect to contribute into any of the investment funds offered by the Plan. Participant pre-tax limitation was limited to $23,500 for 2025.</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Participants may also contribute amounts representing distributions from other qualified benefit plans. These contributions, if any, are classified as rollover contributions in the Statement of Changes in Net Assets Available for Benefits. Participants direct the investment of their contributions into various investment options offered by the Plan. Participants who have attained age 50 before the end of the Plan year are eligible to make catch-up contributions to the Plan. The maximum individual catch-up contribution amount was $7,500 for 2025.</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1, 2009, the Company adopted safe harbor plan provisions such that the Plan would operate on a safe harbor basis. Safe harbor contributions are fully vested immediately. The Company provides a matching employer contribution equal to a certain percentage of each participant’s contributions. The Company may also make employer profit-sharing contributions, at its discretion, which will be allocated among all eligible participants in the Plan whether they make contributions or not. The employer profit-sharing contributions totaled $147,000 for the year ended December 31, 2025. For the year ended December 31, 2025, the Company’s employer matching contribution equaled 35% of up to the first 6% of a participant’s pre-tax and/or Roth contribution. In addition to the matching contribution, the Company also made a non-elective contribution to all participants of 3% of compensation (up to a maximum of $350,000), which totaled $569,421 for the year ended December 31, 2025. The 2025 employer profit-sharing contributions and non-elective contributions are presented as contribution receivable from employer in the Statements of Net Assets Available for Benefits. All employer matching contributions are made in cash.</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Vesting</w:t>
      </w:r>
      <w:r>
        <w:rPr>
          <w:rFonts w:ascii="Times New Roman" w:cs="Times New Roman" w:eastAsia="Times New Roman" w:hAnsi="Times New Roman"/>
          <w:sz w:val="18"/>
          <w:szCs w:val="18"/>
          <w:color w:val="auto"/>
        </w:rPr>
        <w:t>: Participants are always 100% vested in their own contributions including pre-tax contributions, Roth contributions, after-tax voluntary contributions, rollover contributions, safe harbor matching contributions and any discretionary profit-sharing contributions. Further, all contributions are invested at the direction of the participant.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Participants’ “vested percentage” attributable to certain employer contributions is based on years of continuous service determined under the following schedule.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5000" w:type="dxa"/>
            <w:vAlign w:val="bottom"/>
          </w:tcPr>
          <w:p>
            <w:pPr>
              <w:spacing w:after="0"/>
              <w:rPr>
                <w:sz w:val="13"/>
                <w:szCs w:val="13"/>
                <w:color w:val="auto"/>
              </w:rPr>
            </w:pPr>
          </w:p>
        </w:tc>
        <w:tc>
          <w:tcPr>
            <w:tcW w:w="5220" w:type="dxa"/>
            <w:vAlign w:val="bottom"/>
          </w:tcPr>
          <w:p>
            <w:pPr>
              <w:spacing w:after="0"/>
              <w:rPr>
                <w:sz w:val="13"/>
                <w:szCs w:val="13"/>
                <w:color w:val="auto"/>
              </w:rPr>
            </w:pPr>
          </w:p>
        </w:tc>
      </w:tr>
      <w:tr>
        <w:trPr>
          <w:trHeight w:val="561"/>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Years of Service:</w:t>
            </w:r>
          </w:p>
        </w:tc>
        <w:tc>
          <w:tcPr>
            <w:tcW w:w="5220" w:type="dxa"/>
            <w:vAlign w:val="bottom"/>
          </w:tcPr>
          <w:p>
            <w:pPr>
              <w:spacing w:after="0"/>
              <w:rPr>
                <w:sz w:val="24"/>
                <w:szCs w:val="24"/>
                <w:color w:val="auto"/>
              </w:rPr>
            </w:pPr>
          </w:p>
        </w:tc>
      </w:tr>
      <w:tr>
        <w:trPr>
          <w:trHeight w:val="432"/>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than one</w:t>
            </w:r>
          </w:p>
        </w:tc>
        <w:tc>
          <w:tcPr>
            <w:tcW w:w="5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6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One</w:t>
            </w:r>
          </w:p>
        </w:tc>
        <w:tc>
          <w:tcPr>
            <w:tcW w:w="5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Two</w:t>
            </w:r>
          </w:p>
        </w:tc>
        <w:tc>
          <w:tcPr>
            <w:tcW w:w="5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6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Three</w:t>
            </w:r>
          </w:p>
        </w:tc>
        <w:tc>
          <w:tcPr>
            <w:tcW w:w="5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Four</w:t>
            </w:r>
          </w:p>
        </w:tc>
        <w:tc>
          <w:tcPr>
            <w:tcW w:w="5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6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Five</w:t>
            </w:r>
          </w:p>
        </w:tc>
        <w:tc>
          <w:tcPr>
            <w:tcW w:w="5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Participants must have worked at least 1,000 hours in a calendar year for that year to count towards vesting. In addition, participants become fully vested upon retirement, death, or disability.</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Benefits</w:t>
      </w:r>
      <w:r>
        <w:rPr>
          <w:rFonts w:ascii="Times New Roman" w:cs="Times New Roman" w:eastAsia="Times New Roman" w:hAnsi="Times New Roman"/>
          <w:sz w:val="18"/>
          <w:szCs w:val="18"/>
          <w:color w:val="auto"/>
        </w:rPr>
        <w:t>: Upon termination of service due to death, disability, retirement, or separation from service, a participant or his or her beneficiary with a vested balance greater than $5,000 may elect to receive an amount equal to the value of the participant’s vested interest in his or her account, or such amounts may remain in the Plan but contributions cease. The form of payment, selected by the participant or his or her beneficiary, is either a lump-sum distribution or a direct rollover into a qualified retirement plan or individual retirement account. A vested balance less than $5,000 is automatically distributed to the terminated participant or his or her beneficiary in the quarterly period following termination, unless otherwise directed.</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Participant Accounts</w:t>
      </w:r>
      <w:r>
        <w:rPr>
          <w:rFonts w:ascii="Times New Roman" w:cs="Times New Roman" w:eastAsia="Times New Roman" w:hAnsi="Times New Roman"/>
          <w:sz w:val="18"/>
          <w:szCs w:val="18"/>
          <w:color w:val="auto"/>
        </w:rPr>
        <w:t>: Individual accounts are maintained for each of the Plan’s participants and reflect the participant’s contributions, employer contributions, and the participant’s share of the Plan’s investment income (loss). Allocations of income (loss) are based on the proportion that each participant’s account balance bears to the total of all participant account balances and their investment elections.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Investment Options</w:t>
      </w:r>
      <w:r>
        <w:rPr>
          <w:rFonts w:ascii="Times New Roman" w:cs="Times New Roman" w:eastAsia="Times New Roman" w:hAnsi="Times New Roman"/>
          <w:sz w:val="18"/>
          <w:szCs w:val="18"/>
          <w:color w:val="auto"/>
        </w:rPr>
        <w:t>: Participants may direct their contributions and any related earnings into several investment options in 1% increments. Participants may change their investment elections at any time, subject to certain fund restrictions. There were no significant changes made to the available investment alternatives during 2025.</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Within the Plan, new contributions to the Atlantic American Common Stock fund were not allowed. Those participants who were invested in the Atlantic American Common Stock fund, or "Employer Common Stock Fund", were able, and existing participants continue to be able, to sell or liquidate units of the Atlantic American Common Stock fund and reinvest in existing investments offered in the Plan.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Forfeitures</w:t>
      </w:r>
      <w:r>
        <w:rPr>
          <w:rFonts w:ascii="Times New Roman" w:cs="Times New Roman" w:eastAsia="Times New Roman" w:hAnsi="Times New Roman"/>
          <w:sz w:val="18"/>
          <w:szCs w:val="18"/>
          <w:color w:val="auto"/>
        </w:rPr>
        <w:t>: Amounts forfeited from non-vested accounts, if any, are generally used to pay for Plan expenses or reduce future employer contributions. Forfeitures of $6,811 were used to offset administrative expenses charged to the Plan in 2025. At December 31, 2025 and 2024, there were $18,359 and $29,408, respectively, of forfeiture funds available to be used in the future.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Notes Receivable from Participants</w:t>
      </w:r>
      <w:r>
        <w:rPr>
          <w:rFonts w:ascii="Times New Roman" w:cs="Times New Roman" w:eastAsia="Times New Roman" w:hAnsi="Times New Roman"/>
          <w:sz w:val="18"/>
          <w:szCs w:val="18"/>
          <w:color w:val="auto"/>
        </w:rPr>
        <w:t>: Participants may borrow from their fund accounts a minimum of $1,000 up to a maximum equal to the lesser of $50,000 or 50% of their vested account balance. Participants may elect to have their loans disbursed from specific investment funds. Loan terms range from six months to five years. The loans are secured by the vested value of the participants’ account balances and bear interest at the prime rate of interest on the date of the loan plus 1% bearing interest at rates from 4.25% - 9.50%. Principal and interest are paid ratably through payroll deductions.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u w:val="single" w:color="auto"/>
          <w:color w:val="auto"/>
        </w:rPr>
        <w:t>Specified Hardship Withdrawals:</w:t>
      </w:r>
      <w:r>
        <w:rPr>
          <w:rFonts w:ascii="Times New Roman" w:cs="Times New Roman" w:eastAsia="Times New Roman" w:hAnsi="Times New Roman"/>
          <w:sz w:val="18"/>
          <w:szCs w:val="18"/>
          <w:color w:val="auto"/>
        </w:rPr>
        <w:t xml:space="preserve"> Upon written application to the Trustee by a participant for a specified hardship withdrawal, the participant may withdraw from his or her fund accounts. Such withdrawal may be made only upon the express determination that it is necessary to prevent a severe financial hardship to such participant and specific to the following events: expenses for medical care; costs directly related to the purchase of a principal residence; payment of tuition and related educational fees; and to prevent eviction from a principal residence or foreclosure on the mortgage of a principal residence. A participant who has made a specified hardship withdrawal may include any amounts necessary to pay federal, state or local income taxes or penalties reasonably anticipated to result from the distribution and shall make no more than one withdrawal during any calendar quarter.</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Administrative Expenses</w:t>
      </w:r>
      <w:r>
        <w:rPr>
          <w:rFonts w:ascii="Times New Roman" w:cs="Times New Roman" w:eastAsia="Times New Roman" w:hAnsi="Times New Roman"/>
          <w:sz w:val="18"/>
          <w:szCs w:val="18"/>
          <w:color w:val="auto"/>
        </w:rPr>
        <w:t>: The Company pays certain administrative expenses of the Plan. Trustee and recordkeeping fees are shared between the Company and the Plan. Each participant account is charged a $43 quarterly Trustee and recordkeeping fee while the Company also pays a standard annual fee for Trustee and record keeping. Fees resulting from individual participant transactions, such as loan origination and benefit payments, or certain investment elections, are paid by the participant and are included in the fees amount on the Statement of Changes in Net Assets Available for Benefits.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2—SIGNIFICANT ACCOUNTING POLICIES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Basis of Accounting and Use of Estimates</w:t>
      </w:r>
      <w:r>
        <w:rPr>
          <w:rFonts w:ascii="Times New Roman" w:cs="Times New Roman" w:eastAsia="Times New Roman" w:hAnsi="Times New Roman"/>
          <w:sz w:val="18"/>
          <w:szCs w:val="18"/>
          <w:color w:val="auto"/>
        </w:rPr>
        <w:t>: The financial statements of the Plan are prepared under the accrual method of accounting in accordance with accounting principles generally accepted in the United States of America (“GAAP”). The preparation of financial statements in conformity with GAAP requires management to make estimates and assumptions that affect the financial statements and accompanying notes. Actual results could differ materially from those estimates.</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2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Notes Receivable from Participants:</w:t>
      </w:r>
      <w:r>
        <w:rPr>
          <w:rFonts w:ascii="Times New Roman" w:cs="Times New Roman" w:eastAsia="Times New Roman" w:hAnsi="Times New Roman"/>
          <w:sz w:val="18"/>
          <w:szCs w:val="18"/>
          <w:color w:val="auto"/>
        </w:rPr>
        <w:t xml:space="preserve"> Participant loans are classified as notes receivable from participants and are measured at the unpaid principal balance plus unpaid accrued interest. The Plan classifies all notes receivable from participants with no payments received for six (6) months as “in default.” Defaulted notes receivable from participants are deemed distributed and recorded as benefits paid to the participants in the Statement of Changes in Net Assets Available for Benefits.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u w:val="single" w:color="auto"/>
          <w:color w:val="auto"/>
        </w:rPr>
        <w:t>Investment Valuation and Income Recognition</w:t>
      </w:r>
      <w:r>
        <w:rPr>
          <w:rFonts w:ascii="Times New Roman" w:cs="Times New Roman" w:eastAsia="Times New Roman" w:hAnsi="Times New Roman"/>
          <w:sz w:val="18"/>
          <w:szCs w:val="18"/>
          <w:color w:val="auto"/>
        </w:rPr>
        <w:t>: The Plan’s investments are reported at estimated fair value (see Note 3). Where available, quoted market prices are used to value investments. Shares of registered investment companies are valued at the net asset value (“NAV”) of shares held by the Plan at year-end. The Plan’s employer common stock fund is a unitized stock fund valued at the net asset value of the fund. The fund mainly consists of the employer stock which is valued at the closing price reported on the active market on which the stock is traded and the value of cash held for liquidity purposes. The Plan’s interest in common/collective trusts is valued at the net asset value based on information reported by the investment advisor/trustee using the audited financial statements. The net asset value, as provided by the investment advisor/trustee, is used as a practical expedient to estimate fair value, and is based on the estimated fair value of the underlying investments held by the fund less the estimated fair value of its liabilities. The common/collective trusts do not have a finite life, unfunded commitments or significant restriction on redemptions and participant transactions may occur daily.</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Purchases and sales of securities are recorded on a trade date basis. Dividends are recorded on the ex-dividend date. Interest income is recorded on an accrual basis.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Investment securities, in general, are exposed to various risks, including interest rate, credit, and overall market volatility risks. Due to the level of risk associated with certain investment securities, it is reasonably possible that changes in the values of investment securities will occur in the near term, and such changes could materially affect the amounts reported in the Statements of Net Assets Available for Benefits.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describes the fair value hierarchy and provides information as to the extent to which the Plan uses fair value to measure financial instruments and information about the inputs used to value those financial instruments. The fair value hierarchy prioritizes the inputs in the valuation techniques used to measure fair value into three broad levels.</w:t>
      </w:r>
    </w:p>
    <w:p>
      <w:pPr>
        <w:spacing w:after="0" w:line="176" w:lineRule="exact"/>
        <w:rPr>
          <w:sz w:val="20"/>
          <w:szCs w:val="20"/>
          <w:color w:val="auto"/>
        </w:rPr>
      </w:pPr>
    </w:p>
    <w:p>
      <w:pPr>
        <w:ind w:left="980" w:right="440" w:hanging="971"/>
        <w:spacing w:after="0" w:line="282" w:lineRule="auto"/>
        <w:tabs>
          <w:tab w:leader="none" w:pos="96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8"/>
          <w:szCs w:val="18"/>
          <w:color w:val="auto"/>
        </w:rPr>
        <w:t>Observable inputs that reflect quoted prices for identical assets or liabilities in active markets that the Plan has the ability to access at the measurement date. The Plan assets identified as Level 1 instruments include investments in registered investment companies.</w:t>
      </w:r>
    </w:p>
    <w:p>
      <w:pPr>
        <w:spacing w:after="0" w:line="189" w:lineRule="exact"/>
        <w:rPr>
          <w:sz w:val="20"/>
          <w:szCs w:val="20"/>
          <w:color w:val="auto"/>
        </w:rPr>
      </w:pPr>
    </w:p>
    <w:p>
      <w:pPr>
        <w:ind w:left="980" w:right="360" w:hanging="971"/>
        <w:spacing w:after="0" w:line="282" w:lineRule="auto"/>
        <w:tabs>
          <w:tab w:leader="none" w:pos="960" w:val="left"/>
        </w:tabs>
        <w:rPr>
          <w:sz w:val="20"/>
          <w:szCs w:val="20"/>
          <w:color w:val="auto"/>
        </w:rPr>
      </w:pPr>
      <w:r>
        <w:rPr>
          <w:rFonts w:ascii="Times New Roman" w:cs="Times New Roman" w:eastAsia="Times New Roman" w:hAnsi="Times New Roman"/>
          <w:sz w:val="18"/>
          <w:szCs w:val="18"/>
          <w:color w:val="auto"/>
        </w:rPr>
        <w:t>Level 2</w:t>
      </w:r>
      <w:r>
        <w:rPr>
          <w:sz w:val="20"/>
          <w:szCs w:val="20"/>
          <w:color w:val="auto"/>
        </w:rPr>
        <w:tab/>
      </w:r>
      <w:r>
        <w:rPr>
          <w:rFonts w:ascii="Times New Roman" w:cs="Times New Roman" w:eastAsia="Times New Roman" w:hAnsi="Times New Roman"/>
          <w:sz w:val="18"/>
          <w:szCs w:val="18"/>
          <w:color w:val="auto"/>
        </w:rPr>
        <w:t>Observable inputs, other than quoted prices included in Level 1, for the asset or liability or prices for similar assets or liabilities. The Plan assets identified as Level 2 instruments include investments in the employer common stock fund.</w:t>
      </w:r>
    </w:p>
    <w:p>
      <w:pPr>
        <w:spacing w:after="0" w:line="189" w:lineRule="exact"/>
        <w:rPr>
          <w:sz w:val="20"/>
          <w:szCs w:val="20"/>
          <w:color w:val="auto"/>
        </w:rPr>
      </w:pPr>
    </w:p>
    <w:p>
      <w:pPr>
        <w:ind w:left="980" w:hanging="971"/>
        <w:spacing w:after="0" w:line="289" w:lineRule="auto"/>
        <w:tabs>
          <w:tab w:leader="none" w:pos="960" w:val="left"/>
        </w:tabs>
        <w:rPr>
          <w:sz w:val="20"/>
          <w:szCs w:val="20"/>
          <w:color w:val="auto"/>
        </w:rPr>
      </w:pPr>
      <w:r>
        <w:rPr>
          <w:rFonts w:ascii="Times New Roman" w:cs="Times New Roman" w:eastAsia="Times New Roman" w:hAnsi="Times New Roman"/>
          <w:sz w:val="18"/>
          <w:szCs w:val="18"/>
          <w:color w:val="auto"/>
        </w:rPr>
        <w:t>Level 3</w:t>
      </w:r>
      <w:r>
        <w:rPr>
          <w:sz w:val="20"/>
          <w:szCs w:val="20"/>
          <w:color w:val="auto"/>
        </w:rPr>
        <w:tab/>
      </w:r>
      <w:r>
        <w:rPr>
          <w:rFonts w:ascii="Times New Roman" w:cs="Times New Roman" w:eastAsia="Times New Roman" w:hAnsi="Times New Roman"/>
          <w:sz w:val="17"/>
          <w:szCs w:val="17"/>
          <w:color w:val="auto"/>
        </w:rPr>
        <w:t>Valuations that are derived from techniques in which one or more of the significant inputs are unobservable (including assumptions about risk). Fair value is based on criteria that use assumptions or other data that are not readily observable from objective sources and provided primarily from the sponsors of the underlying funds. The use of different criteria or assumptions regarding data may yield different valuations.</w:t>
      </w:r>
    </w:p>
    <w:p>
      <w:pPr>
        <w:spacing w:after="0" w:line="15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u w:val="single" w:color="auto"/>
          <w:color w:val="auto"/>
        </w:rPr>
        <w:t>Net Appreciation (Depreciation)</w:t>
      </w:r>
      <w:r>
        <w:rPr>
          <w:rFonts w:ascii="Times New Roman" w:cs="Times New Roman" w:eastAsia="Times New Roman" w:hAnsi="Times New Roman"/>
          <w:sz w:val="18"/>
          <w:szCs w:val="18"/>
          <w:color w:val="auto"/>
        </w:rPr>
        <w:t>: Net realized gains (losses) and unrealized appreciation (depreciation) are recorded in the accompanying Statement of Changes in Net Assets Available for Benefits as net appreciation (depreciation) in fair market value of investments.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Payment of Benefits</w:t>
      </w:r>
      <w:r>
        <w:rPr>
          <w:rFonts w:ascii="Times New Roman" w:cs="Times New Roman" w:eastAsia="Times New Roman" w:hAnsi="Times New Roman"/>
          <w:sz w:val="18"/>
          <w:szCs w:val="18"/>
          <w:color w:val="auto"/>
        </w:rPr>
        <w:t>: Distributions to participants are recorded when payment is made.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3—INVESTMENTS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assets carried at fair value were measured on a recurring basis as summarized below:</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8"/>
              </w:rPr>
              <w:t>Quoted Prices in</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8"/>
              </w:rPr>
              <w:t>Significant</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Significant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Active Markets</w:t>
            </w:r>
          </w:p>
        </w:tc>
        <w:tc>
          <w:tcPr>
            <w:tcW w:w="100" w:type="dxa"/>
            <w:vAlign w:val="bottom"/>
          </w:tcPr>
          <w:p>
            <w:pPr>
              <w:spacing w:after="0"/>
              <w:rPr>
                <w:sz w:val="18"/>
                <w:szCs w:val="18"/>
                <w:color w:val="auto"/>
              </w:rPr>
            </w:pPr>
          </w:p>
        </w:tc>
        <w:tc>
          <w:tcPr>
            <w:tcW w:w="15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8"/>
              </w:rPr>
              <w:t>Other Observable</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Unobservable</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18"/>
                <w:szCs w:val="18"/>
                <w:color w:val="auto"/>
              </w:rPr>
            </w:pPr>
          </w:p>
        </w:tc>
        <w:tc>
          <w:tcPr>
            <w:tcW w:w="1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for Identical Assets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rPr>
              <w:t>Inputs</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Inputs</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(Level 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(Level 2)</w:t>
            </w: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(Level 3)</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Employer common stock fund</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951,473</w:t>
            </w: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951,473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Registered investment companies</w:t>
            </w:r>
          </w:p>
        </w:tc>
        <w:tc>
          <w:tcPr>
            <w:tcW w:w="100" w:type="dxa"/>
            <w:vAlign w:val="bottom"/>
          </w:tcPr>
          <w:p>
            <w:pPr>
              <w:spacing w:after="0"/>
              <w:rPr>
                <w:sz w:val="19"/>
                <w:szCs w:val="19"/>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19,677,488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19"/>
                <w:szCs w:val="19"/>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19,677,488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5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investments in the fair value hierarchy</w:t>
            </w: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19,677,488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951,473</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20,628,961</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Common/collective trusts measured at NAV*</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CCEEFF"/>
            </w:tcBorders>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10,702,092</w:t>
            </w: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55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31,331,053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6" w:right="339" w:bottom="1440" w:gutter="0" w:footer="0" w:header="0"/>
        </w:sect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assets carried at fair value were measured on a recurring basis as summarized below:</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Quoted Prices in</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Significant</w:t>
            </w:r>
          </w:p>
        </w:tc>
        <w:tc>
          <w:tcPr>
            <w:tcW w:w="120" w:type="dxa"/>
            <w:vAlign w:val="bottom"/>
          </w:tcPr>
          <w:p>
            <w:pPr>
              <w:spacing w:after="0"/>
              <w:rPr>
                <w:sz w:val="18"/>
                <w:szCs w:val="18"/>
                <w:color w:val="auto"/>
              </w:rPr>
            </w:pPr>
          </w:p>
        </w:tc>
        <w:tc>
          <w:tcPr>
            <w:tcW w:w="140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color w:val="auto"/>
              </w:rPr>
              <w:t>Significant</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Active Markets</w:t>
            </w:r>
          </w:p>
        </w:tc>
        <w:tc>
          <w:tcPr>
            <w:tcW w:w="100" w:type="dxa"/>
            <w:vAlign w:val="bottom"/>
          </w:tcPr>
          <w:p>
            <w:pPr>
              <w:spacing w:after="0"/>
              <w:rPr>
                <w:sz w:val="18"/>
                <w:szCs w:val="18"/>
                <w:color w:val="auto"/>
              </w:rPr>
            </w:pPr>
          </w:p>
        </w:tc>
        <w:tc>
          <w:tcPr>
            <w:tcW w:w="1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Other Observable</w:t>
            </w:r>
          </w:p>
        </w:tc>
        <w:tc>
          <w:tcPr>
            <w:tcW w:w="1520" w:type="dxa"/>
            <w:vAlign w:val="bottom"/>
            <w:gridSpan w:val="4"/>
          </w:tcPr>
          <w:p>
            <w:pPr>
              <w:jc w:val="center"/>
              <w:ind w:right="400"/>
              <w:spacing w:after="0"/>
              <w:rPr>
                <w:sz w:val="20"/>
                <w:szCs w:val="20"/>
                <w:color w:val="auto"/>
              </w:rPr>
            </w:pPr>
            <w:r>
              <w:rPr>
                <w:rFonts w:ascii="Times New Roman" w:cs="Times New Roman" w:eastAsia="Times New Roman" w:hAnsi="Times New Roman"/>
                <w:sz w:val="18"/>
                <w:szCs w:val="18"/>
                <w:color w:val="auto"/>
                <w:w w:val="99"/>
              </w:rPr>
              <w:t>Unobservable</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18"/>
                <w:szCs w:val="18"/>
                <w:color w:val="auto"/>
              </w:rPr>
            </w:pPr>
          </w:p>
        </w:tc>
        <w:tc>
          <w:tcPr>
            <w:tcW w:w="15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8"/>
              </w:rPr>
              <w:t>for Identical Assets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Inputs</w:t>
            </w:r>
          </w:p>
        </w:tc>
        <w:tc>
          <w:tcPr>
            <w:tcW w:w="120" w:type="dxa"/>
            <w:vAlign w:val="bottom"/>
          </w:tcPr>
          <w:p>
            <w:pPr>
              <w:spacing w:after="0"/>
              <w:rPr>
                <w:sz w:val="18"/>
                <w:szCs w:val="18"/>
                <w:color w:val="auto"/>
              </w:rPr>
            </w:pPr>
          </w:p>
        </w:tc>
        <w:tc>
          <w:tcPr>
            <w:tcW w:w="14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Inputs</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(Level 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(Level 2)</w:t>
            </w:r>
          </w:p>
        </w:tc>
        <w:tc>
          <w:tcPr>
            <w:tcW w:w="120" w:type="dxa"/>
            <w:vAlign w:val="bottom"/>
          </w:tcPr>
          <w:p>
            <w:pPr>
              <w:spacing w:after="0"/>
              <w:rPr>
                <w:sz w:val="20"/>
                <w:szCs w:val="20"/>
                <w:color w:val="auto"/>
              </w:rPr>
            </w:pPr>
          </w:p>
        </w:tc>
        <w:tc>
          <w:tcPr>
            <w:tcW w:w="1400" w:type="dxa"/>
            <w:vAlign w:val="bottom"/>
            <w:gridSpan w:val="3"/>
          </w:tcPr>
          <w:p>
            <w:pPr>
              <w:jc w:val="center"/>
              <w:ind w:right="540"/>
              <w:spacing w:after="0"/>
              <w:rPr>
                <w:sz w:val="20"/>
                <w:szCs w:val="20"/>
                <w:color w:val="auto"/>
              </w:rPr>
            </w:pPr>
            <w:r>
              <w:rPr>
                <w:rFonts w:ascii="Times New Roman" w:cs="Times New Roman" w:eastAsia="Times New Roman" w:hAnsi="Times New Roman"/>
                <w:sz w:val="18"/>
                <w:szCs w:val="18"/>
                <w:color w:val="auto"/>
                <w:w w:val="99"/>
              </w:rPr>
              <w:t>(Level 3)</w:t>
            </w:r>
          </w:p>
        </w:tc>
        <w:tc>
          <w:tcPr>
            <w:tcW w:w="10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Employer common stock fund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554,930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3"/>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554,930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Registered investment companies</w:t>
            </w:r>
          </w:p>
        </w:tc>
        <w:tc>
          <w:tcPr>
            <w:tcW w:w="100" w:type="dxa"/>
            <w:vAlign w:val="bottom"/>
          </w:tcPr>
          <w:p>
            <w:pPr>
              <w:spacing w:after="0"/>
              <w:rPr>
                <w:sz w:val="19"/>
                <w:szCs w:val="19"/>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17,447,356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17,447,356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5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investments in the fair value hierarchy</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17,447,356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554,930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18,002,286</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Common/collective trusts measured at NAV*</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CCEEFF"/>
            </w:tcBorders>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10,410,900</w:t>
            </w: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5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28,413,186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right="180" w:hanging="332"/>
        <w:spacing w:after="0" w:line="266"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investments that are measured at fair value using the NAV per share practical expedient have not been categorized in the fair value hierarchy. The fair value amounts presented in these tables are intended to permit reconciliation of the fair value hierarchy to the amounts presented in the Statements of Net Assets Available for Benefits.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Plan management periodically evaluates the significance of transfers between levels, if any, based upon the nature of the financial instrument and size of the transfer relative to total net assets available for benefits. For the year ended December 31, 2025, there were no material transfers between levels 1, 2, or 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4—TAX STATUS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Plan uses a Prototype Plan sponsored by the Trustee. The Trustee received an opinion letter from the Internal Revenue Service (“IRS”), dated June 30, 2020, which states that the Prototype Plan satisfies the applicable provisions of the Code. The Plan itself has not received a determination letter from the IRS. However, the Plan’s management believes that the Plan is currently designed and being operated in compliance with the applicable requirements of the Code. Therefore, no provision for income tax has been included in the Plan’s financial statements.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GAAP requires Plan management to evaluate tax positions taken by the Plan and recognize a tax liability (or asset) if the organization has taken an uncertain position that more likely than not would not be sustained upon examination by the IRS. The plan administrator has analyzed the tax positions taken by the Plan, and has concluded that as of December 31, 2025 and 2024, there are no uncertain positions taken or expected to be taken that would require recognition of the liability (or asset) or disclosure in the financial statements. The Plan is subject to routine audits by taxing jurisdictions and the Plan could be subject to income tax if certain issues were found by the IRS that could result in the disqualification of the Plan’s tax-exempt status; however, there are currently no audits for any tax periods in progress.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5—PLAN TERMINATION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Although it has not expressed any intent to do so, the Company has the right under the Plan to discontinue its contributions at any time and to terminate the Plan subject to the provisions of ERISA. In the event of Plan termination, participants will become fully vested in their accounts as of the termination 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6—PARTY-IN-INTEREST TRANSACTIONS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Plan held 336,209 shares and 365,085 shares of Atlantic American Corporation (the plan sponsor) common stock as of December 31, 2025 and 2024, respectively, in the Atlantic American Corporation Common Stock Fund. The fund invests in Atlantic American Corporation common stock and money market funds and had an estimated fair value of $951,473 and $554,930, at December 31, 2025 and 2024, respectively.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investments totaling $10,702,092 and $10,410,900, held by the Plan at December 31, 2025 and 2024, respectively, are managed by the Trustee and/or its affiliates. These investments, as well as notes receivable from participants, qualify as party-in-interest transactions.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7—SUBSEQUENT EVENTS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Plan considers events or transactions that occur after the date of the Statement of Net Assets Available for Benefits, but before the financial statements are issued, to provide additional evidence relative to certain estimates or to identify matters that require additional disclosure. Subsequent events have been evaluated through June 25, 2026, the date these financial statements were issued.</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ATLANTIC AMERICAN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401(k) RETIREMENT SAVINGS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NUMBER 001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58-1027114</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H, LINE 4i—SCHEDULE OF ASSETS (HELD AT END OF YEAR)</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0" w:type="dxa"/>
            <w:vAlign w:val="bottom"/>
            <w:tcBorders>
              <w:top w:val="single" w:sz="8" w:color="auto"/>
            </w:tcBorders>
          </w:tcPr>
          <w:p>
            <w:pPr>
              <w:spacing w:after="0"/>
              <w:rPr>
                <w:sz w:val="20"/>
                <w:szCs w:val="20"/>
                <w:color w:val="auto"/>
              </w:rPr>
            </w:pPr>
          </w:p>
        </w:tc>
        <w:tc>
          <w:tcPr>
            <w:tcW w:w="29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Identity of Issue, Borrower,</w:t>
            </w:r>
          </w:p>
        </w:tc>
        <w:tc>
          <w:tcPr>
            <w:tcW w:w="58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Current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460" w:type="dxa"/>
            <w:vAlign w:val="bottom"/>
          </w:tcPr>
          <w:p>
            <w:pPr>
              <w:spacing w:after="0"/>
              <w:rPr>
                <w:sz w:val="22"/>
                <w:szCs w:val="22"/>
                <w:color w:val="auto"/>
              </w:rPr>
            </w:pPr>
          </w:p>
        </w:tc>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Lessor, or Similar Party</w:t>
            </w:r>
          </w:p>
        </w:tc>
        <w:tc>
          <w:tcPr>
            <w:tcW w:w="120" w:type="dxa"/>
            <w:vAlign w:val="bottom"/>
          </w:tcPr>
          <w:p>
            <w:pPr>
              <w:spacing w:after="0"/>
              <w:rPr>
                <w:sz w:val="22"/>
                <w:szCs w:val="22"/>
                <w:color w:val="auto"/>
              </w:rPr>
            </w:pPr>
          </w:p>
        </w:tc>
        <w:tc>
          <w:tcPr>
            <w:tcW w:w="5840" w:type="dxa"/>
            <w:vAlign w:val="bottom"/>
            <w:tcBorders>
              <w:bottom w:val="single" w:sz="8" w:color="auto"/>
            </w:tcBorders>
          </w:tcPr>
          <w:p>
            <w:pPr>
              <w:ind w:left="1980"/>
              <w:spacing w:after="0"/>
              <w:rPr>
                <w:sz w:val="20"/>
                <w:szCs w:val="20"/>
                <w:color w:val="auto"/>
              </w:rPr>
            </w:pPr>
            <w:r>
              <w:rPr>
                <w:rFonts w:ascii="Times New Roman" w:cs="Times New Roman" w:eastAsia="Times New Roman" w:hAnsi="Times New Roman"/>
                <w:sz w:val="18"/>
                <w:szCs w:val="18"/>
                <w:color w:val="auto"/>
              </w:rPr>
              <w:t>Description of Investment</w:t>
            </w:r>
          </w:p>
        </w:tc>
        <w:tc>
          <w:tcPr>
            <w:tcW w:w="100" w:type="dxa"/>
            <w:vAlign w:val="bottom"/>
          </w:tcPr>
          <w:p>
            <w:pPr>
              <w:spacing w:after="0"/>
              <w:rPr>
                <w:sz w:val="22"/>
                <w:szCs w:val="22"/>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Cost</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Value</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9"/>
        </w:trPr>
        <w:tc>
          <w:tcPr>
            <w:tcW w:w="4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Employer common stock fund:</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9"/>
        </w:trPr>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29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Atlantic American Corporation</w:t>
            </w:r>
          </w:p>
        </w:tc>
        <w:tc>
          <w:tcPr>
            <w:tcW w:w="5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Atlantic American Corporation Common Stock Fund, 63,135 units</w:t>
            </w:r>
          </w:p>
        </w:tc>
        <w:tc>
          <w:tcPr>
            <w:tcW w:w="7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(a)</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951,473</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460" w:type="dxa"/>
            <w:vAlign w:val="bottom"/>
            <w:tcBorders>
              <w:bottom w:val="single" w:sz="8" w:color="CCEEFF"/>
            </w:tcBorders>
          </w:tcPr>
          <w:p>
            <w:pPr>
              <w:spacing w:after="0"/>
              <w:rPr>
                <w:sz w:val="20"/>
                <w:szCs w:val="20"/>
                <w:color w:val="auto"/>
              </w:rPr>
            </w:pPr>
          </w:p>
        </w:tc>
        <w:tc>
          <w:tcPr>
            <w:tcW w:w="28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59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Subtotal Employer common stock fund</w:t>
            </w:r>
          </w:p>
        </w:tc>
        <w:tc>
          <w:tcPr>
            <w:tcW w:w="6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951,473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0" w:type="dxa"/>
            <w:vAlign w:val="bottom"/>
            <w:shd w:val="clear" w:color="auto" w:fill="CCEEFF"/>
          </w:tcPr>
          <w:p>
            <w:pPr>
              <w:spacing w:after="0"/>
              <w:rPr>
                <w:sz w:val="21"/>
                <w:szCs w:val="21"/>
                <w:color w:val="auto"/>
              </w:rPr>
            </w:pPr>
          </w:p>
        </w:tc>
        <w:tc>
          <w:tcPr>
            <w:tcW w:w="2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Registered investment companies:</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460" w:type="dxa"/>
            <w:vAlign w:val="bottom"/>
            <w:shd w:val="clear" w:color="auto" w:fill="CCEEFF"/>
          </w:tcPr>
          <w:p>
            <w:pPr>
              <w:spacing w:after="0"/>
              <w:rPr>
                <w:sz w:val="21"/>
                <w:szCs w:val="21"/>
                <w:color w:val="auto"/>
              </w:rPr>
            </w:pPr>
          </w:p>
        </w:tc>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Columbia</w:t>
            </w:r>
          </w:p>
        </w:tc>
        <w:tc>
          <w:tcPr>
            <w:tcW w:w="5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Columbia Small Cap Value II Inst3, 19,336 units</w:t>
            </w:r>
          </w:p>
        </w:tc>
        <w:tc>
          <w:tcPr>
            <w:tcW w:w="7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(a)</w:t>
            </w: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275,150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0" w:type="dxa"/>
            <w:vAlign w:val="bottom"/>
            <w:shd w:val="clear" w:color="auto" w:fill="CCEEFF"/>
          </w:tcPr>
          <w:p>
            <w:pPr>
              <w:spacing w:after="0"/>
              <w:rPr>
                <w:sz w:val="21"/>
                <w:szCs w:val="21"/>
                <w:color w:val="auto"/>
              </w:rPr>
            </w:pPr>
          </w:p>
        </w:tc>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BlackRock</w:t>
            </w:r>
          </w:p>
        </w:tc>
        <w:tc>
          <w:tcPr>
            <w:tcW w:w="5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BlackRock Income Fund V, 37,245 units</w:t>
            </w:r>
          </w:p>
        </w:tc>
        <w:tc>
          <w:tcPr>
            <w:tcW w:w="7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(a)</w:t>
            </w: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341,169</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0" w:type="dxa"/>
            <w:vAlign w:val="bottom"/>
            <w:shd w:val="clear" w:color="auto" w:fill="CCEEFF"/>
          </w:tcPr>
          <w:p>
            <w:pPr>
              <w:spacing w:after="0"/>
              <w:rPr>
                <w:sz w:val="21"/>
                <w:szCs w:val="21"/>
                <w:color w:val="auto"/>
              </w:rPr>
            </w:pPr>
          </w:p>
        </w:tc>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Fidelity Investments</w:t>
            </w:r>
          </w:p>
        </w:tc>
        <w:tc>
          <w:tcPr>
            <w:tcW w:w="5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Fidelity 500 Index-Inst Prm, 16,740 units</w:t>
            </w:r>
          </w:p>
        </w:tc>
        <w:tc>
          <w:tcPr>
            <w:tcW w:w="7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(a)</w:t>
            </w: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3,979,344</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Fidelity Global ex US Index Fund, 42,922 units</w:t>
            </w: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800,919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460" w:type="dxa"/>
            <w:vAlign w:val="bottom"/>
            <w:shd w:val="clear" w:color="auto" w:fill="CCEEFF"/>
          </w:tcPr>
          <w:p>
            <w:pPr>
              <w:spacing w:after="0"/>
              <w:rPr>
                <w:sz w:val="21"/>
                <w:szCs w:val="21"/>
                <w:color w:val="auto"/>
              </w:rPr>
            </w:pPr>
          </w:p>
        </w:tc>
        <w:tc>
          <w:tcPr>
            <w:tcW w:w="2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Fidelity Puritan K6 Fund, 125,417 units</w:t>
            </w:r>
          </w:p>
        </w:tc>
        <w:tc>
          <w:tcPr>
            <w:tcW w:w="7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(a)</w:t>
            </w: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2,164,704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Fidelity Total Market Index Fund, 621 units</w:t>
            </w: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115,987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460" w:type="dxa"/>
            <w:vAlign w:val="bottom"/>
            <w:shd w:val="clear" w:color="auto" w:fill="CCEEFF"/>
          </w:tcPr>
          <w:p>
            <w:pPr>
              <w:spacing w:after="0"/>
              <w:rPr>
                <w:sz w:val="21"/>
                <w:szCs w:val="21"/>
                <w:color w:val="auto"/>
              </w:rPr>
            </w:pPr>
          </w:p>
        </w:tc>
        <w:tc>
          <w:tcPr>
            <w:tcW w:w="2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Fidelity US Bond Index, 24,604 units</w:t>
            </w:r>
          </w:p>
        </w:tc>
        <w:tc>
          <w:tcPr>
            <w:tcW w:w="7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(a)</w:t>
            </w: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259,814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6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Fidelity Total Bond K6 Fund, 26,046 units</w:t>
            </w: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232,592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60" w:type="dxa"/>
            <w:vAlign w:val="bottom"/>
            <w:shd w:val="clear" w:color="auto" w:fill="CCEEFF"/>
          </w:tcPr>
          <w:p>
            <w:pPr>
              <w:spacing w:after="0"/>
              <w:rPr>
                <w:sz w:val="21"/>
                <w:szCs w:val="21"/>
                <w:color w:val="auto"/>
              </w:rPr>
            </w:pPr>
          </w:p>
        </w:tc>
        <w:tc>
          <w:tcPr>
            <w:tcW w:w="2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p>
        </w:tc>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JPMorgan</w:t>
            </w:r>
          </w:p>
        </w:tc>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JPMorgan Emerging Markets Equity R6, 0 units</w:t>
            </w: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460" w:type="dxa"/>
            <w:vAlign w:val="bottom"/>
            <w:shd w:val="clear" w:color="auto" w:fill="CCEEFF"/>
          </w:tcPr>
          <w:p>
            <w:pPr>
              <w:spacing w:after="0"/>
              <w:rPr>
                <w:sz w:val="21"/>
                <w:szCs w:val="21"/>
                <w:color w:val="auto"/>
              </w:rPr>
            </w:pPr>
          </w:p>
        </w:tc>
        <w:tc>
          <w:tcPr>
            <w:tcW w:w="2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JPMorgan Large Cap Growth Fund, 64,886 units</w:t>
            </w:r>
          </w:p>
        </w:tc>
        <w:tc>
          <w:tcPr>
            <w:tcW w:w="7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(a)</w:t>
            </w: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5,608,753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0" w:type="dxa"/>
            <w:vAlign w:val="bottom"/>
            <w:shd w:val="clear" w:color="auto" w:fill="CCEEFF"/>
          </w:tcPr>
          <w:p>
            <w:pPr>
              <w:spacing w:after="0"/>
              <w:rPr>
                <w:sz w:val="21"/>
                <w:szCs w:val="21"/>
                <w:color w:val="auto"/>
              </w:rPr>
            </w:pPr>
          </w:p>
        </w:tc>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Oppenheimer Funds</w:t>
            </w:r>
          </w:p>
        </w:tc>
        <w:tc>
          <w:tcPr>
            <w:tcW w:w="5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Invesco Discovery Mid Cap Growth Fund, 43,370 units</w:t>
            </w:r>
          </w:p>
        </w:tc>
        <w:tc>
          <w:tcPr>
            <w:tcW w:w="7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(a)</w:t>
            </w: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1,469,367</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6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Invesco Oppenheimer International Small-Mid Co Fund, Class R6, 2,843 units</w:t>
            </w: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100,231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60" w:type="dxa"/>
            <w:vAlign w:val="bottom"/>
            <w:shd w:val="clear" w:color="auto" w:fill="CCEEFF"/>
          </w:tcPr>
          <w:p>
            <w:pPr>
              <w:spacing w:after="0"/>
              <w:rPr>
                <w:sz w:val="21"/>
                <w:szCs w:val="21"/>
                <w:color w:val="auto"/>
              </w:rPr>
            </w:pPr>
          </w:p>
        </w:tc>
        <w:tc>
          <w:tcPr>
            <w:tcW w:w="2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60" w:type="dxa"/>
            <w:vAlign w:val="bottom"/>
          </w:tcPr>
          <w:p>
            <w:pPr>
              <w:spacing w:after="0"/>
              <w:rPr>
                <w:sz w:val="20"/>
                <w:szCs w:val="20"/>
                <w:color w:val="auto"/>
              </w:rPr>
            </w:pPr>
          </w:p>
        </w:tc>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World</w:t>
            </w:r>
          </w:p>
        </w:tc>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New World Fund Inc, 1,153 units</w:t>
            </w: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107,417</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60" w:type="dxa"/>
            <w:vAlign w:val="bottom"/>
            <w:shd w:val="clear" w:color="auto" w:fill="CCEEFF"/>
          </w:tcPr>
          <w:p>
            <w:pPr>
              <w:spacing w:after="0"/>
              <w:rPr>
                <w:sz w:val="21"/>
                <w:szCs w:val="21"/>
                <w:color w:val="auto"/>
              </w:rPr>
            </w:pPr>
          </w:p>
        </w:tc>
        <w:tc>
          <w:tcPr>
            <w:tcW w:w="2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p>
        </w:tc>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Vanguard</w:t>
            </w:r>
          </w:p>
        </w:tc>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Vanguard Equity Income, 13,629 units</w:t>
            </w: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1,266,273</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460" w:type="dxa"/>
            <w:vAlign w:val="bottom"/>
            <w:shd w:val="clear" w:color="auto" w:fill="CCEEFF"/>
          </w:tcPr>
          <w:p>
            <w:pPr>
              <w:spacing w:after="0"/>
              <w:rPr>
                <w:sz w:val="21"/>
                <w:szCs w:val="21"/>
                <w:color w:val="auto"/>
              </w:rPr>
            </w:pPr>
          </w:p>
        </w:tc>
        <w:tc>
          <w:tcPr>
            <w:tcW w:w="2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Vanguard Mid-Cap Index Inv Fund, 5,637 units</w:t>
            </w:r>
          </w:p>
        </w:tc>
        <w:tc>
          <w:tcPr>
            <w:tcW w:w="7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(a)</w:t>
            </w: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2,025,599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60" w:type="dxa"/>
            <w:vAlign w:val="bottom"/>
            <w:tcBorders>
              <w:bottom w:val="single" w:sz="8" w:color="CCEEFF"/>
            </w:tcBorders>
          </w:tcPr>
          <w:p>
            <w:pPr>
              <w:spacing w:after="0"/>
              <w:rPr>
                <w:sz w:val="21"/>
                <w:szCs w:val="21"/>
                <w:color w:val="auto"/>
              </w:rPr>
            </w:pPr>
          </w:p>
        </w:tc>
        <w:tc>
          <w:tcPr>
            <w:tcW w:w="28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59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Vanguard Small Cap Index Fund, Admiral Shares, 7,527 units</w:t>
            </w:r>
          </w:p>
        </w:tc>
        <w:tc>
          <w:tcPr>
            <w:tcW w:w="78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w:t>
            </w: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930,169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460" w:type="dxa"/>
            <w:vAlign w:val="bottom"/>
            <w:tcBorders>
              <w:bottom w:val="single" w:sz="8" w:color="CCEEFF"/>
            </w:tcBorders>
            <w:shd w:val="clear" w:color="auto" w:fill="CCEEFF"/>
          </w:tcPr>
          <w:p>
            <w:pPr>
              <w:spacing w:after="0"/>
              <w:rPr>
                <w:sz w:val="22"/>
                <w:szCs w:val="22"/>
                <w:color w:val="auto"/>
              </w:rPr>
            </w:pPr>
          </w:p>
        </w:tc>
        <w:tc>
          <w:tcPr>
            <w:tcW w:w="2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Subtotal Registered investment companies</w:t>
            </w:r>
          </w:p>
        </w:tc>
        <w:tc>
          <w:tcPr>
            <w:tcW w:w="6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19,677,488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25"/>
        </w:trPr>
        <w:tc>
          <w:tcPr>
            <w:tcW w:w="4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40" w:type="dxa"/>
            <w:vAlign w:val="bottom"/>
          </w:tcPr>
          <w:p>
            <w:pPr>
              <w:ind w:left="2200"/>
              <w:spacing w:after="0"/>
              <w:rPr>
                <w:sz w:val="20"/>
                <w:szCs w:val="20"/>
                <w:color w:val="auto"/>
              </w:rPr>
            </w:pPr>
            <w:r>
              <w:rPr>
                <w:rFonts w:ascii="Times New Roman" w:cs="Times New Roman" w:eastAsia="Times New Roman" w:hAnsi="Times New Roman"/>
                <w:sz w:val="11"/>
                <w:szCs w:val="11"/>
                <w:color w:val="auto"/>
              </w:rPr>
              <w:t>9</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
        </w:trPr>
        <w:tc>
          <w:tcPr>
            <w:tcW w:w="460" w:type="dxa"/>
            <w:vAlign w:val="bottom"/>
            <w:tcBorders>
              <w:bottom w:val="single" w:sz="8" w:color="auto"/>
            </w:tcBorders>
          </w:tcPr>
          <w:p>
            <w:pPr>
              <w:spacing w:after="0"/>
              <w:rPr>
                <w:sz w:val="4"/>
                <w:szCs w:val="4"/>
                <w:color w:val="auto"/>
              </w:rPr>
            </w:pPr>
          </w:p>
        </w:tc>
        <w:tc>
          <w:tcPr>
            <w:tcW w:w="2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8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ATLANTIC AMERICAN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401(k) RETIREMENT SAVINGS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NUMBER 001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58-1027114</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H, LINE 4i—SCHEDULE OF ASSETS (HELD AT END OF YEAR)</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0" w:type="dxa"/>
            <w:vAlign w:val="bottom"/>
            <w:tcBorders>
              <w:top w:val="single" w:sz="8" w:color="auto"/>
            </w:tcBorders>
          </w:tcPr>
          <w:p>
            <w:pPr>
              <w:spacing w:after="0"/>
              <w:rPr>
                <w:sz w:val="20"/>
                <w:szCs w:val="20"/>
                <w:color w:val="auto"/>
              </w:rPr>
            </w:pPr>
          </w:p>
        </w:tc>
        <w:tc>
          <w:tcPr>
            <w:tcW w:w="2940" w:type="dxa"/>
            <w:vAlign w:val="bottom"/>
            <w:tcBorders>
              <w:top w:val="single" w:sz="8" w:color="auto"/>
            </w:tcBorders>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Identity of Issue, Borrower,</w:t>
            </w:r>
          </w:p>
        </w:tc>
        <w:tc>
          <w:tcPr>
            <w:tcW w:w="58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Current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460" w:type="dxa"/>
            <w:vAlign w:val="bottom"/>
          </w:tcPr>
          <w:p>
            <w:pPr>
              <w:spacing w:after="0"/>
              <w:rPr>
                <w:sz w:val="22"/>
                <w:szCs w:val="22"/>
                <w:color w:val="auto"/>
              </w:rPr>
            </w:pPr>
          </w:p>
        </w:tc>
        <w:tc>
          <w:tcPr>
            <w:tcW w:w="28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Lessor, or Similar Party</w:t>
            </w:r>
          </w:p>
        </w:tc>
        <w:tc>
          <w:tcPr>
            <w:tcW w:w="120" w:type="dxa"/>
            <w:vAlign w:val="bottom"/>
          </w:tcPr>
          <w:p>
            <w:pPr>
              <w:spacing w:after="0"/>
              <w:rPr>
                <w:sz w:val="22"/>
                <w:szCs w:val="22"/>
                <w:color w:val="auto"/>
              </w:rPr>
            </w:pPr>
          </w:p>
        </w:tc>
        <w:tc>
          <w:tcPr>
            <w:tcW w:w="5860" w:type="dxa"/>
            <w:vAlign w:val="bottom"/>
            <w:tcBorders>
              <w:bottom w:val="single" w:sz="8" w:color="auto"/>
            </w:tcBorders>
          </w:tcPr>
          <w:p>
            <w:pPr>
              <w:ind w:left="2000"/>
              <w:spacing w:after="0"/>
              <w:rPr>
                <w:sz w:val="20"/>
                <w:szCs w:val="20"/>
                <w:color w:val="auto"/>
              </w:rPr>
            </w:pPr>
            <w:r>
              <w:rPr>
                <w:rFonts w:ascii="Times New Roman" w:cs="Times New Roman" w:eastAsia="Times New Roman" w:hAnsi="Times New Roman"/>
                <w:sz w:val="18"/>
                <w:szCs w:val="18"/>
                <w:color w:val="auto"/>
              </w:rPr>
              <w:t>Description of Investment</w:t>
            </w:r>
          </w:p>
        </w:tc>
        <w:tc>
          <w:tcPr>
            <w:tcW w:w="100" w:type="dxa"/>
            <w:vAlign w:val="bottom"/>
          </w:tcPr>
          <w:p>
            <w:pPr>
              <w:spacing w:after="0"/>
              <w:rPr>
                <w:sz w:val="22"/>
                <w:szCs w:val="22"/>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Cost</w:t>
            </w:r>
          </w:p>
        </w:tc>
        <w:tc>
          <w:tcPr>
            <w:tcW w:w="120" w:type="dxa"/>
            <w:vAlign w:val="bottom"/>
          </w:tcPr>
          <w:p>
            <w:pPr>
              <w:spacing w:after="0"/>
              <w:rPr>
                <w:sz w:val="22"/>
                <w:szCs w:val="22"/>
                <w:color w:val="auto"/>
              </w:rPr>
            </w:pPr>
          </w:p>
        </w:tc>
        <w:tc>
          <w:tcPr>
            <w:tcW w:w="11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Value</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9"/>
        </w:trPr>
        <w:tc>
          <w:tcPr>
            <w:tcW w:w="4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Common/collective trusts:</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60" w:type="dxa"/>
            <w:vAlign w:val="bottom"/>
            <w:shd w:val="clear" w:color="auto" w:fill="CCEEFF"/>
          </w:tcPr>
          <w:p>
            <w:pPr>
              <w:spacing w:after="0"/>
              <w:rPr>
                <w:sz w:val="21"/>
                <w:szCs w:val="21"/>
                <w:color w:val="auto"/>
              </w:rPr>
            </w:pPr>
          </w:p>
        </w:tc>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Nuveen Asset Management</w:t>
            </w:r>
          </w:p>
        </w:tc>
        <w:tc>
          <w:tcPr>
            <w:tcW w:w="5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Nuveen TIAA Lifecycle Index 2010 Class J, 13 units</w:t>
            </w:r>
          </w:p>
        </w:tc>
        <w:tc>
          <w:tcPr>
            <w:tcW w:w="7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(a)</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Nuveen TIAA Lifecycle Index 2015 Class J, 1,217 units</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460" w:type="dxa"/>
            <w:vAlign w:val="bottom"/>
            <w:shd w:val="clear" w:color="auto" w:fill="CCEEFF"/>
          </w:tcPr>
          <w:p>
            <w:pPr>
              <w:spacing w:after="0"/>
              <w:rPr>
                <w:sz w:val="21"/>
                <w:szCs w:val="21"/>
                <w:color w:val="auto"/>
              </w:rPr>
            </w:pPr>
          </w:p>
        </w:tc>
        <w:tc>
          <w:tcPr>
            <w:tcW w:w="2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Nuveen TIAA Lifecycle Index 2020 Class J, 62,400 units</w:t>
            </w:r>
          </w:p>
        </w:tc>
        <w:tc>
          <w:tcPr>
            <w:tcW w:w="7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(a)</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823,675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Nuveen TIAA Lifecycle Index 2025 Class J, 54,315 units</w:t>
            </w: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739,222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460" w:type="dxa"/>
            <w:vAlign w:val="bottom"/>
            <w:shd w:val="clear" w:color="auto" w:fill="CCEEFF"/>
          </w:tcPr>
          <w:p>
            <w:pPr>
              <w:spacing w:after="0"/>
              <w:rPr>
                <w:sz w:val="21"/>
                <w:szCs w:val="21"/>
                <w:color w:val="auto"/>
              </w:rPr>
            </w:pPr>
          </w:p>
        </w:tc>
        <w:tc>
          <w:tcPr>
            <w:tcW w:w="2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Nuveen TIAA Lifecycle Index 2030 Class J, 101,726 units</w:t>
            </w:r>
          </w:p>
        </w:tc>
        <w:tc>
          <w:tcPr>
            <w:tcW w:w="7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(a)</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1,444,509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Nuveen TIAA Lifecycle Index 2035 Class J, 92,747 units</w:t>
            </w: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1,376,367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460" w:type="dxa"/>
            <w:vAlign w:val="bottom"/>
            <w:shd w:val="clear" w:color="auto" w:fill="CCEEFF"/>
          </w:tcPr>
          <w:p>
            <w:pPr>
              <w:spacing w:after="0"/>
              <w:rPr>
                <w:sz w:val="21"/>
                <w:szCs w:val="21"/>
                <w:color w:val="auto"/>
              </w:rPr>
            </w:pPr>
          </w:p>
        </w:tc>
        <w:tc>
          <w:tcPr>
            <w:tcW w:w="2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Nuveen TIAA Lifecycle Index 2040 Class J, 50,554 units</w:t>
            </w:r>
          </w:p>
        </w:tc>
        <w:tc>
          <w:tcPr>
            <w:tcW w:w="7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(a)</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792,688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Nuveen TIAA Lifecycle Index 2045 Class J, 56,279 units</w:t>
            </w: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919,598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460" w:type="dxa"/>
            <w:vAlign w:val="bottom"/>
            <w:shd w:val="clear" w:color="auto" w:fill="CCEEFF"/>
          </w:tcPr>
          <w:p>
            <w:pPr>
              <w:spacing w:after="0"/>
              <w:rPr>
                <w:sz w:val="21"/>
                <w:szCs w:val="21"/>
                <w:color w:val="auto"/>
              </w:rPr>
            </w:pPr>
          </w:p>
        </w:tc>
        <w:tc>
          <w:tcPr>
            <w:tcW w:w="2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Nuveen TIAA Lifecycle Index 2050 Class J, 27,456 units</w:t>
            </w:r>
          </w:p>
        </w:tc>
        <w:tc>
          <w:tcPr>
            <w:tcW w:w="7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(a)</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456,313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Nuveen TIAA Lifecycle Index 2055 Class J, 49,075 units</w:t>
            </w: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822,002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460" w:type="dxa"/>
            <w:vAlign w:val="bottom"/>
            <w:shd w:val="clear" w:color="auto" w:fill="CCEEFF"/>
          </w:tcPr>
          <w:p>
            <w:pPr>
              <w:spacing w:after="0"/>
              <w:rPr>
                <w:sz w:val="21"/>
                <w:szCs w:val="21"/>
                <w:color w:val="auto"/>
              </w:rPr>
            </w:pPr>
          </w:p>
        </w:tc>
        <w:tc>
          <w:tcPr>
            <w:tcW w:w="2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Nuveen TIAA Lifecycle Index 2060 Class J, 19,403 units</w:t>
            </w:r>
          </w:p>
        </w:tc>
        <w:tc>
          <w:tcPr>
            <w:tcW w:w="7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(a)</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315,486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Nuveen TIAA Lifecycle Index 2065 Class J, 3,080 units</w:t>
            </w: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48,386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460" w:type="dxa"/>
            <w:vAlign w:val="bottom"/>
            <w:shd w:val="clear" w:color="auto" w:fill="CCEEFF"/>
          </w:tcPr>
          <w:p>
            <w:pPr>
              <w:spacing w:after="0"/>
              <w:rPr>
                <w:sz w:val="21"/>
                <w:szCs w:val="21"/>
                <w:color w:val="auto"/>
              </w:rPr>
            </w:pPr>
          </w:p>
        </w:tc>
        <w:tc>
          <w:tcPr>
            <w:tcW w:w="2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Nuveen TIAA Lifecycle Index Retirement Income Class J, 26,500 units</w:t>
            </w:r>
          </w:p>
        </w:tc>
        <w:tc>
          <w:tcPr>
            <w:tcW w:w="7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(a)</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338,938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9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Wells Fargo Bank, NA</w:t>
            </w:r>
          </w:p>
        </w:tc>
        <w:tc>
          <w:tcPr>
            <w:tcW w:w="5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Galliard Capital Management Stable Return Fund, 39,864 units</w:t>
            </w:r>
          </w:p>
        </w:tc>
        <w:tc>
          <w:tcPr>
            <w:tcW w:w="7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(a)</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2,609,075</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460" w:type="dxa"/>
            <w:vAlign w:val="bottom"/>
            <w:tcBorders>
              <w:bottom w:val="single" w:sz="8" w:color="CCEEFF"/>
            </w:tcBorders>
          </w:tcPr>
          <w:p>
            <w:pPr>
              <w:spacing w:after="0"/>
              <w:rPr>
                <w:sz w:val="20"/>
                <w:szCs w:val="20"/>
                <w:color w:val="auto"/>
              </w:rPr>
            </w:pPr>
          </w:p>
        </w:tc>
        <w:tc>
          <w:tcPr>
            <w:tcW w:w="28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59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Subtotal Common/collective trusts</w:t>
            </w:r>
          </w:p>
        </w:tc>
        <w:tc>
          <w:tcPr>
            <w:tcW w:w="6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10,702,092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0" w:type="dxa"/>
            <w:vAlign w:val="bottom"/>
            <w:shd w:val="clear" w:color="auto" w:fill="CCEEFF"/>
          </w:tcPr>
          <w:p>
            <w:pPr>
              <w:spacing w:after="0"/>
              <w:rPr>
                <w:sz w:val="21"/>
                <w:szCs w:val="21"/>
                <w:color w:val="auto"/>
              </w:rPr>
            </w:pPr>
          </w:p>
        </w:tc>
        <w:tc>
          <w:tcPr>
            <w:tcW w:w="2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6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Participant loans:</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Various Plan Participants</w:t>
            </w:r>
          </w:p>
        </w:tc>
        <w:tc>
          <w:tcPr>
            <w:tcW w:w="5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Participant loans, maturing in 2026 through 2030</w:t>
            </w:r>
          </w:p>
        </w:tc>
        <w:tc>
          <w:tcPr>
            <w:tcW w:w="6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60" w:type="dxa"/>
            <w:vAlign w:val="bottom"/>
            <w:tcBorders>
              <w:bottom w:val="single" w:sz="8" w:color="CCEEFF"/>
            </w:tcBorders>
          </w:tcPr>
          <w:p>
            <w:pPr>
              <w:spacing w:after="0"/>
              <w:rPr>
                <w:sz w:val="21"/>
                <w:szCs w:val="21"/>
                <w:color w:val="auto"/>
              </w:rPr>
            </w:pPr>
          </w:p>
        </w:tc>
        <w:tc>
          <w:tcPr>
            <w:tcW w:w="28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59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bearing interest at rates from 4.25% - 9.50%</w:t>
            </w:r>
          </w:p>
        </w:tc>
        <w:tc>
          <w:tcPr>
            <w:tcW w:w="6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161,006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Subtotal Participant loans</w:t>
            </w: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161,006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460" w:type="dxa"/>
            <w:vAlign w:val="bottom"/>
            <w:tcBorders>
              <w:bottom w:val="single" w:sz="8" w:color="CCEEFF"/>
            </w:tcBorders>
            <w:shd w:val="clear" w:color="auto" w:fill="CCEEFF"/>
          </w:tcPr>
          <w:p>
            <w:pPr>
              <w:spacing w:after="0"/>
              <w:rPr>
                <w:sz w:val="22"/>
                <w:szCs w:val="22"/>
                <w:color w:val="auto"/>
              </w:rPr>
            </w:pPr>
          </w:p>
        </w:tc>
        <w:tc>
          <w:tcPr>
            <w:tcW w:w="29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5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$31,492,059</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6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party in interest</w:t>
      </w:r>
    </w:p>
    <w:p>
      <w:pPr>
        <w:spacing w:after="0" w:line="27"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notes receivable from participants</w:t>
      </w:r>
    </w:p>
    <w:p>
      <w:pPr>
        <w:spacing w:after="0" w:line="9"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Participant-directed</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report of independent registered public accounting firm.</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3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Exhibit 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on Form S-8 (No. 33-90890) of Atlantic American Corporation of our report dated June 25, 2026, with respect to the financial statements and supplemental schedule of Atlantic American Corporation 401(k) Retirement Savings Plan included in this Annual Report on Form 11-K for the year ended December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Forvis Mazars, LLP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Atlanta, Georgia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June 25, 2026</w:t>
      </w:r>
    </w:p>
    <w:p>
      <w:pPr>
        <w:spacing w:after="0" w:line="200" w:lineRule="exact"/>
        <w:rPr>
          <w:sz w:val="20"/>
          <w:szCs w:val="20"/>
          <w:color w:val="auto"/>
        </w:rPr>
      </w:pPr>
    </w:p>
    <w:p>
      <w:pPr>
        <w:spacing w:after="0" w:line="2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160"/>
      </w:cols>
      <w:pgMar w:left="320" w:top="116"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2026-06-25T18:07:14Z</dcterms:created>
  <dcterms:modified xsi:type="dcterms:W3CDTF">2026-06-25T18:07:14Z</dcterms:modified>
</cp:coreProperties>
</file>