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 File Number: 000-03722</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Number: 048209100</w:t>
      </w:r>
    </w:p>
    <w:p>
      <w:pPr>
        <w:spacing w:after="0" w:line="22" w:lineRule="exact"/>
        <w:rPr>
          <w:sz w:val="24"/>
          <w:szCs w:val="24"/>
          <w:color w:val="auto"/>
        </w:rPr>
      </w:pPr>
    </w:p>
    <w:p>
      <w:pPr>
        <w:ind w:left="1180"/>
        <w:spacing w:after="0" w:line="207" w:lineRule="exact"/>
        <w:rPr>
          <w:sz w:val="20"/>
          <w:szCs w:val="20"/>
          <w:color w:val="auto"/>
        </w:rPr>
      </w:pPr>
      <w:r>
        <w:rPr>
          <w:rFonts w:ascii="Times New Roman" w:cs="Times New Roman" w:eastAsia="Times New Roman" w:hAnsi="Times New Roman"/>
          <w:sz w:val="18"/>
          <w:szCs w:val="18"/>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w:t>
      </w:r>
    </w:p>
    <w:p>
      <w:pPr>
        <w:spacing w:after="0" w:line="9" w:lineRule="exact"/>
        <w:rPr>
          <w:sz w:val="24"/>
          <w:szCs w:val="24"/>
          <w:color w:val="auto"/>
        </w:rPr>
      </w:pPr>
    </w:p>
    <w:p>
      <w:pPr>
        <w:ind w:left="2260" w:right="5520" w:firstLine="2"/>
        <w:spacing w:after="0" w:line="326" w:lineRule="exact"/>
        <w:tabs>
          <w:tab w:leader="none" w:pos="24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 For Period Ended: </w:t>
      </w:r>
      <w:r>
        <w:rPr>
          <w:rFonts w:ascii="Times New Roman" w:cs="Times New Roman" w:eastAsia="Times New Roman" w:hAnsi="Times New Roman"/>
          <w:sz w:val="18"/>
          <w:szCs w:val="18"/>
          <w:b w:val="1"/>
          <w:bCs w:val="1"/>
          <w:u w:val="single" w:color="auto"/>
          <w:color w:val="auto"/>
        </w:rPr>
        <w:t>March 31, 2026</w:t>
      </w:r>
    </w:p>
    <w:p>
      <w:pPr>
        <w:spacing w:after="0" w:line="198" w:lineRule="exact"/>
        <w:rPr>
          <w:rFonts w:ascii="MS PGothic" w:cs="MS PGothic" w:eastAsia="MS PGothic" w:hAnsi="MS PGothic"/>
          <w:sz w:val="18"/>
          <w:szCs w:val="18"/>
          <w:color w:val="auto"/>
        </w:rPr>
      </w:pPr>
    </w:p>
    <w:p>
      <w:pPr>
        <w:ind w:left="2460" w:hanging="198"/>
        <w:spacing w:after="0"/>
        <w:tabs>
          <w:tab w:leader="none" w:pos="2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2460" w:hanging="198"/>
        <w:spacing w:after="0"/>
        <w:tabs>
          <w:tab w:leader="none" w:pos="2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460" w:hanging="198"/>
        <w:spacing w:after="0"/>
        <w:tabs>
          <w:tab w:leader="none" w:pos="2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460" w:hanging="198"/>
        <w:spacing w:after="0"/>
        <w:tabs>
          <w:tab w:leader="none" w:pos="2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 INFORMATION</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Atlantic American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Name of Registrant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if Applicable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4370 Peachtree Road, 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Address of Principal Executive Office </w:t>
      </w:r>
      <w:r>
        <w:rPr>
          <w:rFonts w:ascii="Times New Roman" w:cs="Times New Roman" w:eastAsia="Times New Roman" w:hAnsi="Times New Roman"/>
          <w:sz w:val="18"/>
          <w:szCs w:val="18"/>
          <w:b w:val="1"/>
          <w:bCs w:val="1"/>
          <w:i w:val="1"/>
          <w:iCs w:val="1"/>
          <w:color w:val="auto"/>
        </w:rPr>
        <w:t>(Street and Number)</w:t>
      </w:r>
    </w:p>
    <w:p>
      <w:pPr>
        <w:spacing w:after="0" w:line="203"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Atlanta, Georgia 30319</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RULES 12b-25(b) AND (c)</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640" w:hanging="308"/>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 portion</w:t>
      </w:r>
    </w:p>
    <w:p>
      <w:pPr>
        <w:spacing w:after="0" w:line="27" w:lineRule="exact"/>
        <w:rPr>
          <w:rFonts w:ascii="Times New Roman" w:cs="Times New Roman" w:eastAsia="Times New Roman" w:hAnsi="Times New Roman"/>
          <w:sz w:val="18"/>
          <w:szCs w:val="18"/>
          <w:color w:val="auto"/>
        </w:rPr>
      </w:pPr>
    </w:p>
    <w:p>
      <w:pPr>
        <w:ind w:left="640" w:hanging="632"/>
        <w:spacing w:after="0" w:line="200" w:lineRule="auto"/>
        <w:tabs>
          <w:tab w:leader="none" w:pos="64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0" w:lineRule="exact"/>
        <w:rPr>
          <w:rFonts w:ascii="MS PGothic" w:cs="MS PGothic" w:eastAsia="MS PGothic" w:hAnsi="MS PGothic"/>
          <w:sz w:val="36"/>
          <w:szCs w:val="36"/>
          <w:color w:val="auto"/>
          <w:vertAlign w:val="subscript"/>
        </w:rPr>
      </w:pPr>
    </w:p>
    <w:p>
      <w:pPr>
        <w:ind w:left="640" w:hanging="308"/>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-1079500</wp:posOffset>
            </wp:positionV>
            <wp:extent cx="17145" cy="1097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 cy="1097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NARRATIVE</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Atlantic American Corporation (the “Company”) is unable to file its Quarterly Report on Form 10-Q for the quarterly period ended March 31, 2026 (the “Form 10-Q”) within the prescribed time period without unreasonable effort or expense. The Company requires additional time to compile and analyze all requisite financial information, and the supporting documentation required by the recently adopted Accounting Standards Update No.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Financial Services—Insurance (Topic 944)—Targeted Improvements to the Accounting for Long-Duration Contracts, in order to complete its financial statements and the Annual Report on Form 10-K for the year ended December 31, 2025 and its financial statements and the Quarterly Report on Form 10-Q for the quarterly period ended March 31, 2026, and then to permit the Company’s independent registered public accounting firm to complete its audit and review procedures,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 Ross Franklin</w:t>
            </w:r>
          </w:p>
        </w:tc>
        <w:tc>
          <w:tcPr>
            <w:tcW w:w="360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(404)</w:t>
            </w:r>
          </w:p>
        </w:tc>
        <w:tc>
          <w:tcPr>
            <w:tcW w:w="200" w:type="dxa"/>
            <w:vAlign w:val="bottom"/>
          </w:tcPr>
          <w:p>
            <w:pPr>
              <w:spacing w:after="0"/>
              <w:rPr>
                <w:sz w:val="22"/>
                <w:szCs w:val="22"/>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266-5500</w:t>
            </w:r>
          </w:p>
        </w:tc>
      </w:tr>
      <w:tr>
        <w:trPr>
          <w:trHeight w:val="23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(Area Code)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(Telephone Number)</w:t>
            </w:r>
          </w:p>
        </w:tc>
      </w:tr>
    </w:tbl>
    <w:p>
      <w:pPr>
        <w:spacing w:after="0" w:line="175" w:lineRule="exact"/>
        <w:rPr>
          <w:sz w:val="20"/>
          <w:szCs w:val="20"/>
          <w:color w:val="auto"/>
        </w:rPr>
      </w:pPr>
    </w:p>
    <w:p>
      <w:pPr>
        <w:ind w:left="340" w:right="80" w:hanging="332"/>
        <w:spacing w:after="0" w:line="232" w:lineRule="exact"/>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year ended December 31, 2025</w:t>
      </w:r>
    </w:p>
    <w:p>
      <w:pPr>
        <w:spacing w:after="0" w:line="225" w:lineRule="exact"/>
        <w:rPr>
          <w:rFonts w:ascii="Times New Roman" w:cs="Times New Roman" w:eastAsia="Times New Roman" w:hAnsi="Times New Roman"/>
          <w:sz w:val="18"/>
          <w:szCs w:val="18"/>
          <w:color w:val="auto"/>
        </w:rPr>
      </w:pPr>
    </w:p>
    <w:p>
      <w:pPr>
        <w:ind w:left="340" w:right="580" w:hanging="332"/>
        <w:spacing w:after="0" w:line="239" w:lineRule="exact"/>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Section 27A of the Securities Act of 1933 and Section 21E of the Securities Exchange Act of 1934. Forward-looking statements are all statements other than those of historical fact and are inherently subject to risks and uncertainties that could cause actual results to differ materially. These forward-looking statements include, without limitation, statements regarding the Company’s expectations with respect to the results of operations to be set forth in the Form 10-K and the Form 10-Q. These statements are based on various assumptions, whether or not identified in this document, and on the current expectations of the Company’s management and are not guarantees of actual performance. Factors that could cause actual results to differ materially from the results expressed or implied by such forward-looking statements include, among others, the results of the Company’s financial reporting procedures and the possibility of adjustments in the Company’s financial reporting process generally. There may be additional risks that the Company does not presently know or that the Company currently believes are immaterial that could also cause actual results to differ from those expressed in or implied by these forward-looking statements. In addition, forward-looking statements reflect the Company’s expectations as of the date of this document. The Company undertakes no obligation to update or revise any forward-looking statements contained herein, except as may be required by law. Accordingly, undue reliance should not be placed upon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1" w:lineRule="exact"/>
        <w:rPr>
          <w:sz w:val="20"/>
          <w:szCs w:val="20"/>
          <w:color w:val="auto"/>
        </w:rPr>
      </w:pPr>
    </w:p>
    <w:p>
      <w:pPr>
        <w:ind w:left="180"/>
        <w:spacing w:after="0"/>
        <w:tabs>
          <w:tab w:leader="none" w:pos="4140" w:val="left"/>
          <w:tab w:leader="none" w:pos="4600" w:val="left"/>
        </w:tabs>
        <w:rPr>
          <w:sz w:val="20"/>
          <w:szCs w:val="20"/>
          <w:color w:val="auto"/>
        </w:rPr>
      </w:pPr>
      <w:r>
        <w:rPr>
          <w:rFonts w:ascii="Times New Roman" w:cs="Times New Roman" w:eastAsia="Times New Roman" w:hAnsi="Times New Roman"/>
          <w:sz w:val="18"/>
          <w:szCs w:val="18"/>
          <w:color w:val="auto"/>
        </w:rPr>
        <w:t>Date: May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 J. Ross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19685</wp:posOffset>
            </wp:positionV>
            <wp:extent cx="42005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 Ross Franklin</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lvl w:ilvl="1">
      <w:lvlJc w:val="left"/>
      <w:lvlText w:val="(%2)"/>
      <w:numFmt w:val="lowerLetter"/>
      <w:start w:val="3"/>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2026-05-18T15:26:41Z</dcterms:created>
  <dcterms:modified xsi:type="dcterms:W3CDTF">2026-05-18T15:26:41Z</dcterms:modified>
</cp:coreProperties>
</file>