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8"/>
          <w:szCs w:val="18"/>
          <w:color w:val="auto"/>
        </w:rPr>
        <w:t>August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ATLANTIC AMERICAN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Georgia</w:t>
            </w:r>
          </w:p>
        </w:tc>
        <w:tc>
          <w:tcPr>
            <w:tcW w:w="3280" w:type="dxa"/>
            <w:vAlign w:val="bottom"/>
            <w:tcBorders>
              <w:bottom w:val="single" w:sz="8" w:color="auto"/>
            </w:tcBorders>
            <w:gridSpan w:val="2"/>
          </w:tcPr>
          <w:p>
            <w:pPr>
              <w:jc w:val="right"/>
              <w:ind w:right="1450"/>
              <w:spacing w:after="0"/>
              <w:rPr>
                <w:sz w:val="20"/>
                <w:szCs w:val="20"/>
                <w:color w:val="auto"/>
              </w:rPr>
            </w:pPr>
            <w:r>
              <w:rPr>
                <w:rFonts w:ascii="Times New Roman" w:cs="Times New Roman" w:eastAsia="Times New Roman" w:hAnsi="Times New Roman"/>
                <w:sz w:val="18"/>
                <w:szCs w:val="18"/>
                <w:color w:val="auto"/>
              </w:rPr>
              <w:t>0-3722</w:t>
            </w:r>
          </w:p>
        </w:tc>
        <w:tc>
          <w:tcPr>
            <w:tcW w:w="378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color w:val="auto"/>
              </w:rPr>
              <w:t>58-1027114</w:t>
            </w:r>
          </w:p>
        </w:tc>
      </w:tr>
      <w:tr>
        <w:trPr>
          <w:trHeight w:val="234"/>
        </w:trPr>
        <w:tc>
          <w:tcPr>
            <w:tcW w:w="41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28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4370 Peachtree Road, N.E., Atlanta, Georgia</w:t>
            </w:r>
          </w:p>
        </w:tc>
        <w:tc>
          <w:tcPr>
            <w:tcW w:w="14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30319</w:t>
            </w: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7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21"/>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440" w:type="dxa"/>
            <w:vAlign w:val="bottom"/>
          </w:tcPr>
          <w:p>
            <w:pPr>
              <w:spacing w:after="0"/>
              <w:rPr>
                <w:sz w:val="24"/>
                <w:szCs w:val="24"/>
                <w:color w:val="auto"/>
              </w:rPr>
            </w:pPr>
          </w:p>
        </w:tc>
        <w:tc>
          <w:tcPr>
            <w:tcW w:w="18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97"/>
              </w:rPr>
              <w:t>(404) 266-5500</w:t>
            </w:r>
          </w:p>
        </w:tc>
        <w:tc>
          <w:tcPr>
            <w:tcW w:w="3780" w:type="dxa"/>
            <w:vAlign w:val="bottom"/>
            <w:tcBorders>
              <w:bottom w:val="single" w:sz="8" w:color="auto"/>
            </w:tcBorders>
          </w:tcPr>
          <w:p>
            <w:pPr>
              <w:spacing w:after="0"/>
              <w:rPr>
                <w:sz w:val="24"/>
                <w:szCs w:val="24"/>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4"/>
        </w:trPr>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$1.00 per share</w:t>
            </w:r>
          </w:p>
        </w:tc>
        <w:tc>
          <w:tcPr>
            <w:tcW w:w="200" w:type="dxa"/>
            <w:vAlign w:val="bottom"/>
          </w:tcPr>
          <w:p>
            <w:pPr>
              <w:spacing w:after="0"/>
              <w:rPr>
                <w:sz w:val="20"/>
                <w:szCs w:val="20"/>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AAME</w:t>
            </w:r>
          </w:p>
        </w:tc>
        <w:tc>
          <w:tcPr>
            <w:tcW w:w="260" w:type="dxa"/>
            <w:vAlign w:val="bottom"/>
          </w:tcPr>
          <w:p>
            <w:pPr>
              <w:spacing w:after="0"/>
              <w:rPr>
                <w:sz w:val="20"/>
                <w:szCs w:val="20"/>
                <w:color w:val="auto"/>
              </w:rPr>
            </w:pPr>
          </w:p>
        </w:tc>
        <w:tc>
          <w:tcPr>
            <w:tcW w:w="4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12, 2025, Atlantic American Corporation (the “Registrant”) reported its results of operations for its second quarter ended June 30, 2025. A copy of the press release issued by the Registrant concerning the foregoing results is furnished herewith as Exhibit 99.1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00" w:type="dxa"/>
            <w:vAlign w:val="bottom"/>
          </w:tcPr>
          <w:p>
            <w:pPr>
              <w:spacing w:after="0"/>
              <w:rPr>
                <w:sz w:val="20"/>
                <w:szCs w:val="20"/>
                <w:color w:val="auto"/>
              </w:rPr>
            </w:pPr>
          </w:p>
        </w:tc>
      </w:tr>
      <w:tr>
        <w:trPr>
          <w:trHeight w:val="410"/>
        </w:trPr>
        <w:tc>
          <w:tcPr>
            <w:tcW w:w="124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00" w:type="dxa"/>
            <w:vAlign w:val="bottom"/>
          </w:tcPr>
          <w:p>
            <w:pPr>
              <w:spacing w:after="0"/>
              <w:rPr>
                <w:sz w:val="24"/>
                <w:szCs w:val="24"/>
                <w:color w:val="auto"/>
              </w:rPr>
            </w:pPr>
          </w:p>
        </w:tc>
      </w:tr>
      <w:tr>
        <w:trPr>
          <w:trHeight w:val="245"/>
        </w:trPr>
        <w:tc>
          <w:tcPr>
            <w:tcW w:w="124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5"/>
        </w:trPr>
        <w:tc>
          <w:tcPr>
            <w:tcW w:w="1180" w:type="dxa"/>
            <w:vAlign w:val="bottom"/>
            <w:tcBorders>
              <w:top w:val="single" w:sz="8" w:color="auto"/>
            </w:tcBorders>
            <w:gridSpan w:val="3"/>
          </w:tcPr>
          <w:p>
            <w:pPr>
              <w:jc w:val="center"/>
              <w:ind w:right="400"/>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5"/>
                <w:szCs w:val="15"/>
                <w:color w:val="auto"/>
              </w:rPr>
            </w:pPr>
          </w:p>
        </w:tc>
        <w:tc>
          <w:tcPr>
            <w:tcW w:w="100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Press release dated August 12, 2025.</w:t>
            </w:r>
          </w:p>
        </w:tc>
      </w:tr>
      <w:tr>
        <w:trPr>
          <w:trHeight w:val="237"/>
        </w:trPr>
        <w:tc>
          <w:tcPr>
            <w:tcW w:w="440" w:type="dxa"/>
            <w:vAlign w:val="bottom"/>
          </w:tcPr>
          <w:p>
            <w:pPr>
              <w:spacing w:after="0"/>
              <w:rPr>
                <w:sz w:val="20"/>
                <w:szCs w:val="20"/>
                <w:color w:val="auto"/>
              </w:rPr>
            </w:pPr>
          </w:p>
        </w:tc>
        <w:tc>
          <w:tcPr>
            <w:tcW w:w="32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herein and in the accompanying exhibit shall not be incorporated by reference into any filing of the Registrant, whether made before or after the date hereof, regardless of any general incorporation language in such filing, unless expressly incorporated by specific reference in such filing. The information in this report, including the exhibit hereto, shall not be deemed to be “filed” for purposes of Section 18 of the Securities Exchange Act of 1934, or otherwise subject to the liabilities of that section or Sections 11 and 12(a)(2) of the Securities Act of 1933.</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ATLANTIC AMERICAN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 Ross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 Ross Franklin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 Chief Financial Officer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ATLANTIC AMERICAN CORPORATION REPORTS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QUARTER RESULTS FOR 2025</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ATLANTA, Georgia, August 12, 2025 - Atlantic American Corporation (Nasdaq- AAME) today reported net income of $3.3 million, or $0.15 per diluted share, for the three month period ended June 30, 2025 compared to net loss of ($0.7) million, or ($0.04) per diluted share, for the comparable period in 2024. The Company had net income of $4.1 million, or $0.19 per diluted share, for the six month period ended June 30, 2025, compared to net loss of ($2.7) million, or ($0.14) per diluted share, for the six month period ended June 30, 2024. The increase in net income for the three month and six month periods ended June 30, 2025 was primarily the result of increases in premium revenue, coupled with an increase in unrealized gains on equity securities.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income increased $2.7 million in the three month period ended June 30, 2025 from the three month period ended June 30, 2024. For the six month period ended June 30, 2025, operating income increased $5.4 million from the comparable period in 2024. The increase in operating income for the three month and six month periods ended June 30, 2025 was primarily the result of increases in premium revenue within the inland marine line of business in the property and casualty operations, as well as increases in the Medicare supplement and group accident and health lines of business within the life and health operations.</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Commenting on the results, Hilton H. Howell, Jr., Chairman, President and Chief Executive Officer, stated, “We are pleased to report exceptional financial results this quarter, marked by a significant increase in net income and continued improvement in operating income. Our property &amp; casualty and life &amp; health segments each delivered strong earned premium growth, supported by steady new business momentum and retention of existing contracts. These results underscore the resilience of our business model, the effectiveness of our growth strategy and the benefits of our diversified product offerings. Looking ahead to the second half of the year, we believe we are well-positioned to deliver sustained, profitable growth and drive long-term value creation for our shareholders.”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Atlantic American Corporation is an insurance holding company involved through its subsidiary companies in specialty markets of the life, health, and property and casualty insurance industries. Its principal insurance subsidiaries are American Southern Insurance Company, American Safety Insurance Company, Bankers Fidelity Life Insurance Company, Bankers Fidelity Assurance Company and Atlantic Capital Life Assurance Company.</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Note regarding non-GAAP financial measure: Atlantic American Corporation presents its consolidated financial statements in accordance with U.S. generally accepted accounting principles (GAAP). However, from time to time, the Company may present, in its public statements, press releases and filings with the Securities and Exchange Commission, non-GAAP financial measures such as operating income (loss). We define operating income (loss) as net income (loss) excluding: (i) income tax expense (benefit); (ii) realized investment (gains) losses, net; and (iii) unrealized (gains) losses on equity securities, net. Management believes operating income (loss) is a useful metric for investors, potential investors, securities analysts and others because it isolates the “core” operating results of the Company before considering certain items that are either beyond the control of management (such as income tax expense (benefit), which is subject to timing, regulatory and rate changes depending on the timing of the associated revenues and expenses) or are not expected to regularly impact the Company’s operating results (such as any realized and unrealized investment gains (losses), which are not a part of the Company’s primary operations and are, to a limited extent, subject to discretion in terms of timing of realization). The financial data attached includes a reconciliation of operating income (loss) to net income (loss), the most comparable GAAP financial measure. The Company’s definition of operating income (loss) may differ from similarly titled financial measures used by others. This non-GAAP financial measure should be considered supplemental to, and not a substitute for, financial information prepared in accordance with GAAP.</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Note regarding forward-looking statements: Except for historical information contained herein, this press release contains forward-looking statements that involve a number of risks and uncertainties. Actual results could differ materially from those indicated by such forward-looking statements due to a number of factors and risks, including, among others: the effects of macroeconomic conditions and general economic uncertainty; unexpected developments in the health care or insurance industries affecting providers or individuals, including the cost or availability of services, or the tax consequences related thereto; disruption to the financial markets; unanticipated increases in the rate, number and amounts of claims outstanding; our ability to remediate the identified material weakness in our internal control over financial reporting; the level of performance of reinsurance companies under reinsurance contracts and the availability, pricing and adequacy of reinsurance to protect the Company against losses; changes in the stock markets, interest rates or other financial markets, including the potential effect on the Company’s statutory capital levels; the uncertain effect on the Company of regulatory and market-driven changes in practices relating to the payment of incentive compensation to brokers, agents and other producers; the potential impact of public health emergencies; the incidence and severity of catastrophes, both natural and man-made; the possible occurrence of terrorist attacks; stronger than anticipated competitive activity; unfavorable judicial or legislative developments; the potential effect of regulatory developments, including those which could increase the Company’s business costs and required capital levels; the Company’s ability to distribute its products through distribution channels, both current and future; the uncertain effect of emerging claim and coverage issues; the effect of assessments and other surcharges for guaranty funds and other mandatory pooling arrangements; information technology system failures or network disruptions; risks related to cybersecurity matters, such as breaches of our computer network or those of other parties or the loss of or unauthorized access to the data we maintain; and those other risks and uncertainties detailed in statements and reports that the Company files from time to time with the Securities and Exchange Commission. As a result, undue reliance should not be placed upon forward-looking statements, which speak only as of the date they are made. The Company undertakes no obligation to publicly update any forward-looking statements as a result of subsequent developments, changes in underlying assumptions or facts or otherwise, except as may be required by law.</w:t>
      </w:r>
    </w:p>
    <w:p>
      <w:pPr>
        <w:sectPr>
          <w:pgSz w:w="11900" w:h="16838" w:orient="portrait"/>
          <w:cols w:equalWidth="0" w:num="1">
            <w:col w:w="11240"/>
          </w:cols>
          <w:pgMar w:left="320" w:top="266" w:right="339" w:bottom="1440" w:gutter="0" w:footer="0" w:header="0"/>
        </w:sectPr>
      </w:pP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Ross Franklin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Atlantic American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404-266-5580</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Hilton H. Howell,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&amp; 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Atlantic American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404-266-5505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254635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900" w:space="720"/>
            <w:col w:w="5620"/>
          </w:cols>
          <w:pgMar w:left="320" w:top="266"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Atlantic American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11"/>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16"/>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(Unaudited; In thousands, except per share data)</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60" w:type="dxa"/>
            <w:vAlign w:val="bottom"/>
            <w:vMerge w:val="continue"/>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Insurance premiums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Life and health</w:t>
            </w:r>
          </w:p>
        </w:tc>
        <w:tc>
          <w:tcPr>
            <w:tcW w:w="1460" w:type="dxa"/>
            <w:vAlign w:val="bottom"/>
            <w:gridSpan w:val="3"/>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29,005</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27,449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57,587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54,123</w:t>
            </w:r>
          </w:p>
        </w:tc>
        <w:tc>
          <w:tcPr>
            <w:tcW w:w="0" w:type="dxa"/>
            <w:vAlign w:val="bottom"/>
          </w:tcPr>
          <w:p>
            <w:pPr>
              <w:spacing w:after="0"/>
              <w:rPr>
                <w:sz w:val="1"/>
                <w:szCs w:val="1"/>
                <w:color w:val="auto"/>
              </w:rPr>
            </w:pPr>
          </w:p>
        </w:tc>
      </w:tr>
      <w:tr>
        <w:trPr>
          <w:trHeight w:val="223"/>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casualty</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21,141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17,544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39,472</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35,422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Insurance premiums, net</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50,146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97,059</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4,972</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on equity securities, net</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55,290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47,668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105,415</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94,665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Insurance benefits and losses incurred</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Life and health</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17,634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34,950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36,691</w:t>
            </w:r>
          </w:p>
        </w:tc>
        <w:tc>
          <w:tcPr>
            <w:tcW w:w="0" w:type="dxa"/>
            <w:vAlign w:val="bottom"/>
          </w:tcPr>
          <w:p>
            <w:pPr>
              <w:spacing w:after="0"/>
              <w:rPr>
                <w:sz w:val="1"/>
                <w:szCs w:val="1"/>
                <w:color w:val="auto"/>
              </w:rPr>
            </w:pPr>
          </w:p>
        </w:tc>
      </w:tr>
      <w:tr>
        <w:trPr>
          <w:trHeight w:val="223"/>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casualty</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16,013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14,228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30,610</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27,041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Insurance benefits and losses incurred, net</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33,647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65,560</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 and underwriting expenses</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12,870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11,584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24,550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773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867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8,507</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8,316</w:t>
            </w: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benefits and expenses</w:t>
            </w: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51,074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48,517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100,164</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98,020</w:t>
            </w: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(3,355)</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900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1,133</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60" w:type="dxa"/>
            <w:vAlign w:val="bottom"/>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3,316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4,118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(2,682)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per common share (basic)</w:t>
            </w:r>
          </w:p>
        </w:tc>
        <w:tc>
          <w:tcPr>
            <w:tcW w:w="1460" w:type="dxa"/>
            <w:vAlign w:val="bottom"/>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0.16</w:t>
            </w:r>
          </w:p>
        </w:tc>
        <w:tc>
          <w:tcPr>
            <w:tcW w:w="60" w:type="dxa"/>
            <w:vAlign w:val="bottom"/>
          </w:tcPr>
          <w:p>
            <w:pPr>
              <w:spacing w:after="0"/>
              <w:rPr>
                <w:sz w:val="18"/>
                <w:szCs w:val="18"/>
                <w:color w:val="auto"/>
              </w:rPr>
            </w:pP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(0.14)</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common share (diluted)</w:t>
            </w:r>
          </w:p>
        </w:tc>
        <w:tc>
          <w:tcPr>
            <w:tcW w:w="1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0.15</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60" w:type="dxa"/>
            <w:vAlign w:val="bottom"/>
            <w:gridSpan w:val="3"/>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900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1,133</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on equity securities, net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(2,609)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(3,376)</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 (loss)</w:t>
            </w:r>
          </w:p>
        </w:tc>
        <w:tc>
          <w:tcPr>
            <w:tcW w:w="1460" w:type="dxa"/>
            <w:vAlign w:val="bottom"/>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1,591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(1,105)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1,859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(3,497)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Selected balance sheet data</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color w:val="auto"/>
                <w:w w:val="98"/>
              </w:rPr>
              <w:t>December 31,</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660" w:type="dxa"/>
            <w:vAlign w:val="bottom"/>
            <w:vMerge w:val="continue"/>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gridSpan w:val="4"/>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280,282</w:t>
            </w:r>
          </w:p>
        </w:tc>
        <w:tc>
          <w:tcPr>
            <w:tcW w:w="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265,696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subsidiaries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274,443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258,675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Parent and other</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7,021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429,339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393,428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reserves and policyholder funds</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255,513</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225,106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Debt</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37,761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99,613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Book value per common share</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capital and surplus</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Life and health</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32,443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casualty</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47,183</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47,670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3"/>
        </w:trPr>
        <w:tc>
          <w:tcPr>
            <w:tcW w:w="46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2025-08-12T13:13:07Z</dcterms:created>
  <dcterms:modified xsi:type="dcterms:W3CDTF">2025-08-12T13:13:07Z</dcterms:modified>
</cp:coreProperties>
</file>