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0344_nt10q.htm"/>
      <w:bookmarkStart w:id="1" w:name="ksef20080344_nt10q"/>
      <w:bookmarkStart w:id="2" w:name="ef20080344_nt10q.htm"/>
      <w:bookmarkStart w:id="3" w:name="ksef20080344_nt10q"/>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12b-25</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NOTIFICATION OF LATE FILING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e00072ae54d4a9593a6552af6622dc1"/>
      <w:bookmarkStart w:id="5" w:name="z3e00072ae54d4a9593a6552af6622dc1"/>
      <w:bookmarkEnd w:id="5"/>
    </w:p>
    <w:tbl>
      <w:tblPr>
        <w:tblW w:w="6828" w:type="dxa"/>
        <w:jc w:val="left"/>
        <w:tblInd w:w="0" w:type="dxa"/>
        <w:tblLayout w:type="fixed"/>
        <w:tblCellMar>
          <w:top w:w="0" w:type="dxa"/>
          <w:left w:w="0" w:type="dxa"/>
          <w:bottom w:w="0" w:type="dxa"/>
          <w:right w:w="0" w:type="dxa"/>
        </w:tblCellMar>
      </w:tblPr>
      <w:tblGrid>
        <w:gridCol w:w="1310"/>
        <w:gridCol w:w="23"/>
        <w:gridCol w:w="5495"/>
      </w:tblGrid>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right"/>
              <w:rPr>
                <w:color w:val="000000"/>
              </w:rPr>
            </w:pPr>
            <w:r>
              <w:rPr>
                <w:color w:val="000000"/>
              </w:rPr>
              <w:t>SEC File Number: 000-03722</w:t>
            </w:r>
          </w:p>
          <w:p>
            <w:pPr>
              <w:pStyle w:val="TableContents"/>
              <w:bidi w:val="0"/>
              <w:spacing w:before="0" w:after="0"/>
              <w:jc w:val="right"/>
              <w:rPr>
                <w:color w:val="000000"/>
              </w:rPr>
            </w:pPr>
            <w:r>
              <w:rPr>
                <w:color w:val="000000"/>
              </w:rPr>
            </w:r>
          </w:p>
          <w:p>
            <w:pPr>
              <w:pStyle w:val="TableContents"/>
              <w:bidi w:val="0"/>
              <w:spacing w:before="0" w:after="0"/>
              <w:jc w:val="right"/>
              <w:rPr>
                <w:color w:val="000000"/>
              </w:rPr>
            </w:pPr>
            <w:r>
              <w:rPr>
                <w:color w:val="000000"/>
              </w:rPr>
              <w:t>CUSIP Number: 048209100</w:t>
            </w:r>
          </w:p>
        </w:tc>
      </w:tr>
      <w:tr>
        <w:trPr/>
        <w:tc>
          <w:tcPr>
            <w:tcW w:w="1310" w:type="dxa"/>
            <w:tcBorders/>
            <w:vAlign w:val="center"/>
          </w:tcPr>
          <w:p>
            <w:pPr>
              <w:pStyle w:val="TableContents"/>
              <w:bidi w:val="0"/>
              <w:spacing w:before="0" w:after="0"/>
              <w:jc w:val="right"/>
              <w:rPr>
                <w:color w:val="000000"/>
              </w:rPr>
            </w:pPr>
            <w:r>
              <w:rPr>
                <w:color w:val="000000"/>
              </w:rPr>
              <w:t>(Check One):</w:t>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 xml:space="preserve">☐ </w:t>
            </w:r>
            <w:r>
              <w:rPr>
                <w:color w:val="000000"/>
              </w:rPr>
              <w:t>Form 10-K ☐ Form 20-F ☐ Form 11-K ☒ Form 10-Q</w:t>
            </w:r>
          </w:p>
          <w:p>
            <w:pPr>
              <w:pStyle w:val="TableContents"/>
              <w:bidi w:val="0"/>
              <w:spacing w:before="0" w:after="0"/>
              <w:jc w:val="left"/>
              <w:rPr>
                <w:color w:val="000000"/>
              </w:rPr>
            </w:pPr>
            <w:r>
              <w:rPr>
                <w:color w:val="000000"/>
              </w:rPr>
              <w:t xml:space="preserve">☐ </w:t>
            </w:r>
            <w:r>
              <w:rPr>
                <w:color w:val="000000"/>
              </w:rPr>
              <w:t>Form 10-D ☐ Form N-CEN ☐ Form N-CSR</w:t>
            </w:r>
          </w:p>
        </w:tc>
      </w:tr>
      <w:tr>
        <w:trPr/>
        <w:tc>
          <w:tcPr>
            <w:tcW w:w="1310" w:type="dxa"/>
            <w:tcBorders/>
            <w:vAlign w:val="center"/>
          </w:tcPr>
          <w:p>
            <w:pPr>
              <w:pStyle w:val="TableContents"/>
              <w:bidi w:val="0"/>
              <w:spacing w:before="0" w:after="283"/>
              <w:jc w:val="left"/>
              <w:rPr/>
            </w:pPr>
            <w:r>
              <w:rPr/>
            </w:r>
          </w:p>
        </w:tc>
        <w:tc>
          <w:tcPr>
            <w:tcW w:w="5518" w:type="dxa"/>
            <w:gridSpan w:val="2"/>
            <w:tcBorders/>
            <w:vAlign w:val="center"/>
          </w:tcPr>
          <w:p>
            <w:pPr>
              <w:pStyle w:val="TableContents"/>
              <w:bidi w:val="0"/>
              <w:spacing w:before="0" w:after="283"/>
              <w:jc w:val="left"/>
              <w:rPr/>
            </w:pPr>
            <w:r>
              <w:rPr/>
            </w:r>
          </w:p>
        </w:tc>
      </w:tr>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 xml:space="preserve">For Period Ended: </w:t>
            </w:r>
            <w:r>
              <w:rPr>
                <w:b/>
                <w:color w:val="000000"/>
                <w:u w:val="single"/>
              </w:rPr>
              <w:t>June 30, 2026</w:t>
            </w:r>
          </w:p>
        </w:tc>
      </w:tr>
      <w:tr>
        <w:trPr/>
        <w:tc>
          <w:tcPr>
            <w:tcW w:w="1310" w:type="dxa"/>
            <w:tcBorders/>
            <w:vAlign w:val="center"/>
          </w:tcPr>
          <w:p>
            <w:pPr>
              <w:pStyle w:val="TableContents"/>
              <w:bidi w:val="0"/>
              <w:spacing w:before="0" w:after="283"/>
              <w:jc w:val="left"/>
              <w:rPr/>
            </w:pPr>
            <w:r>
              <w:rPr/>
            </w:r>
          </w:p>
        </w:tc>
        <w:tc>
          <w:tcPr>
            <w:tcW w:w="5518" w:type="dxa"/>
            <w:gridSpan w:val="2"/>
            <w:tcBorders/>
            <w:vAlign w:val="center"/>
          </w:tcPr>
          <w:p>
            <w:pPr>
              <w:pStyle w:val="TableContents"/>
              <w:bidi w:val="0"/>
              <w:spacing w:before="0" w:after="283"/>
              <w:jc w:val="left"/>
              <w:rPr/>
            </w:pPr>
            <w:r>
              <w:rPr/>
            </w:r>
          </w:p>
        </w:tc>
      </w:tr>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 xml:space="preserve">☐ </w:t>
            </w:r>
            <w:r>
              <w:rPr>
                <w:color w:val="000000"/>
              </w:rPr>
              <w:t>Transition Report on Form 10-K</w:t>
            </w:r>
          </w:p>
        </w:tc>
      </w:tr>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 xml:space="preserve">☐ </w:t>
            </w:r>
            <w:r>
              <w:rPr>
                <w:color w:val="000000"/>
              </w:rPr>
              <w:t>Transition Report on Form 20-F</w:t>
            </w:r>
          </w:p>
        </w:tc>
      </w:tr>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 xml:space="preserve">☐ </w:t>
            </w:r>
            <w:r>
              <w:rPr>
                <w:color w:val="000000"/>
              </w:rPr>
              <w:t>Transition Report on Form 11-K</w:t>
            </w:r>
          </w:p>
        </w:tc>
      </w:tr>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 xml:space="preserve">☐ </w:t>
            </w:r>
            <w:r>
              <w:rPr>
                <w:color w:val="000000"/>
              </w:rPr>
              <w:t>Transition Report on Form 10-Q</w:t>
            </w:r>
          </w:p>
        </w:tc>
      </w:tr>
      <w:tr>
        <w:trPr/>
        <w:tc>
          <w:tcPr>
            <w:tcW w:w="13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95" w:type="dxa"/>
            <w:tcBorders/>
            <w:vAlign w:val="center"/>
          </w:tcPr>
          <w:p>
            <w:pPr>
              <w:pStyle w:val="TableContents"/>
              <w:bidi w:val="0"/>
              <w:spacing w:before="0" w:after="0"/>
              <w:jc w:val="left"/>
              <w:rPr>
                <w:color w:val="000000"/>
              </w:rPr>
            </w:pPr>
            <w:r>
              <w:rPr>
                <w:color w:val="000000"/>
              </w:rPr>
              <w:t>For the Transition Period Ended: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affe76afd4d64e87ad283c488d08e739"/>
      <w:bookmarkStart w:id="7" w:name="zaffe76afd4d64e87ad283c488d08e739"/>
      <w:bookmarkEnd w:id="7"/>
    </w:p>
    <w:tbl>
      <w:tblPr>
        <w:tblW w:w="10205" w:type="dxa"/>
        <w:jc w:val="left"/>
        <w:tblInd w:w="-15" w:type="dxa"/>
        <w:tblLayout w:type="fixed"/>
        <w:tblCellMar>
          <w:top w:w="28" w:type="dxa"/>
          <w:left w:w="28" w:type="dxa"/>
          <w:bottom w:w="28"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b/>
                <w:color w:val="000000"/>
              </w:rPr>
            </w:pPr>
            <w:r>
              <w:rPr>
                <w:b/>
                <w:color w:val="000000"/>
              </w:rPr>
              <w:t>Nothing in this form shall be construed to imply that the Commission has verified any information contained herein.</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notification relates to a portion of the filing checked above, identify the Item(s) to which the notification relates:</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REGISTRANT INFORMATION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Atlantic American 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Full Name of Registrant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Former Name if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4370 Peachtree Road, N.E.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Address of Principal Executive Office </w:t>
      </w:r>
      <w:r>
        <w:rPr>
          <w:rFonts w:ascii="Times New Roman" w:hAnsi="Times New Roman"/>
          <w:b/>
          <w:i/>
          <w:color w:val="000000"/>
          <w:sz w:val="20"/>
        </w:rPr>
        <w:t>(Street and Number)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Atlanta, Georgia 30319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City, State and Zip Code</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12b-25(b) AND (c)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5a4a304bb6214ecf94f35f35acc8712a"/>
      <w:bookmarkStart w:id="9" w:name="z5a4a304bb6214ecf94f35f35acc8712a"/>
      <w:bookmarkEnd w:id="9"/>
    </w:p>
    <w:tbl>
      <w:tblPr>
        <w:tblW w:w="10205" w:type="dxa"/>
        <w:jc w:val="left"/>
        <w:tblInd w:w="0" w:type="dxa"/>
        <w:tblLayout w:type="fixed"/>
        <w:tblCellMar>
          <w:top w:w="0" w:type="dxa"/>
          <w:left w:w="0" w:type="dxa"/>
          <w:bottom w:w="0" w:type="dxa"/>
          <w:right w:w="28" w:type="dxa"/>
        </w:tblCellMar>
      </w:tblPr>
      <w:tblGrid>
        <w:gridCol w:w="230"/>
        <w:gridCol w:w="23"/>
        <w:gridCol w:w="230"/>
        <w:gridCol w:w="23"/>
        <w:gridCol w:w="9699"/>
      </w:tblGrid>
      <w:tr>
        <w:trPr/>
        <w:tc>
          <w:tcPr>
            <w:tcW w:w="230" w:type="dxa"/>
            <w:vMerge w:val="restart"/>
            <w:tcBorders>
              <w:right w:val="single" w:sz="12" w:space="0" w:color="000000"/>
            </w:tcBorders>
            <w:vAlign w:val="center"/>
          </w:tcPr>
          <w:p>
            <w:pPr>
              <w:pStyle w:val="TableContents"/>
              <w:bidi w:val="0"/>
              <w:spacing w:before="0" w:after="0"/>
              <w:jc w:val="left"/>
              <w:rPr>
                <w:color w:val="000000"/>
              </w:rPr>
            </w:pPr>
            <w:r>
              <w:rPr>
                <w:color w:val="000000"/>
              </w:rPr>
              <w:t>☐</w:t>
            </w:r>
          </w:p>
        </w:tc>
        <w:tc>
          <w:tcPr>
            <w:tcW w:w="23" w:type="dxa"/>
            <w:tcBorders/>
            <w:tcMar>
              <w:right w:w="0" w:type="dxa"/>
            </w:tcMar>
            <w:vAlign w:val="center"/>
          </w:tcPr>
          <w:p>
            <w:pPr>
              <w:pStyle w:val="TableContents"/>
              <w:bidi w:val="0"/>
              <w:spacing w:before="0" w:after="283"/>
              <w:jc w:val="left"/>
              <w:rPr/>
            </w:pPr>
            <w:r>
              <w:rPr/>
            </w:r>
          </w:p>
        </w:tc>
        <w:tc>
          <w:tcPr>
            <w:tcW w:w="230" w:type="dxa"/>
            <w:tcBorders/>
            <w:tcMar>
              <w:right w:w="0" w:type="dxa"/>
            </w:tcMar>
            <w:vAlign w:val="center"/>
          </w:tcPr>
          <w:p>
            <w:pPr>
              <w:pStyle w:val="TableContents"/>
              <w:bidi w:val="0"/>
              <w:spacing w:before="0" w:after="0"/>
              <w:jc w:val="left"/>
              <w:rPr>
                <w:color w:val="000000"/>
              </w:rPr>
            </w:pPr>
            <w:r>
              <w:rPr>
                <w:color w:val="000000"/>
              </w:rPr>
              <w:t>(a)</w:t>
            </w:r>
          </w:p>
        </w:tc>
        <w:tc>
          <w:tcPr>
            <w:tcW w:w="23" w:type="dxa"/>
            <w:tcBorders/>
            <w:tcMar>
              <w:right w:w="0" w:type="dxa"/>
            </w:tcMar>
            <w:vAlign w:val="center"/>
          </w:tcPr>
          <w:p>
            <w:pPr>
              <w:pStyle w:val="TableContents"/>
              <w:bidi w:val="0"/>
              <w:spacing w:before="0" w:after="283"/>
              <w:jc w:val="left"/>
              <w:rPr/>
            </w:pPr>
            <w:r>
              <w:rPr/>
            </w:r>
          </w:p>
        </w:tc>
        <w:tc>
          <w:tcPr>
            <w:tcW w:w="9699" w:type="dxa"/>
            <w:tcBorders/>
            <w:tcMar>
              <w:right w:w="0" w:type="dxa"/>
            </w:tcMar>
            <w:vAlign w:val="center"/>
          </w:tcPr>
          <w:p>
            <w:pPr>
              <w:pStyle w:val="TableContents"/>
              <w:bidi w:val="0"/>
              <w:spacing w:before="0" w:after="0"/>
              <w:jc w:val="left"/>
              <w:rPr>
                <w:color w:val="000000"/>
              </w:rPr>
            </w:pPr>
            <w:r>
              <w:rPr>
                <w:color w:val="000000"/>
              </w:rPr>
              <w:t>The reason described in reasonable detail in Part III of this form could not be eliminated without unreasonable effort or expense;</w:t>
            </w:r>
          </w:p>
        </w:tc>
      </w:tr>
      <w:tr>
        <w:trPr/>
        <w:tc>
          <w:tcPr>
            <w:tcW w:w="230" w:type="dxa"/>
            <w:vMerge w:val="continue"/>
            <w:tcBorders>
              <w:right w:val="single" w:sz="12" w:space="0" w:color="000000"/>
            </w:tcBorders>
            <w:vAlign w:val="center"/>
          </w:tcPr>
          <w:p>
            <w:pPr>
              <w:pStyle w:val="Normal"/>
              <w:bidi w:val="0"/>
              <w:jc w:val="left"/>
              <w:rPr/>
            </w:pPr>
            <w:r>
              <w:rPr/>
            </w:r>
          </w:p>
        </w:tc>
        <w:tc>
          <w:tcPr>
            <w:tcW w:w="23" w:type="dxa"/>
            <w:tcBorders/>
            <w:tcMar>
              <w:right w:w="0" w:type="dxa"/>
            </w:tcMar>
            <w:vAlign w:val="center"/>
          </w:tcPr>
          <w:p>
            <w:pPr>
              <w:pStyle w:val="TableContents"/>
              <w:bidi w:val="0"/>
              <w:spacing w:before="0" w:after="283"/>
              <w:jc w:val="left"/>
              <w:rPr/>
            </w:pPr>
            <w:r>
              <w:rPr/>
            </w:r>
          </w:p>
        </w:tc>
        <w:tc>
          <w:tcPr>
            <w:tcW w:w="230" w:type="dxa"/>
            <w:tcBorders/>
            <w:tcMar>
              <w:right w:w="0" w:type="dxa"/>
            </w:tcMar>
            <w:vAlign w:val="center"/>
          </w:tcPr>
          <w:p>
            <w:pPr>
              <w:pStyle w:val="TableContents"/>
              <w:bidi w:val="0"/>
              <w:spacing w:before="0" w:after="283"/>
              <w:jc w:val="left"/>
              <w:rPr/>
            </w:pPr>
            <w:r>
              <w:rPr/>
            </w:r>
          </w:p>
        </w:tc>
        <w:tc>
          <w:tcPr>
            <w:tcW w:w="23" w:type="dxa"/>
            <w:tcBorders/>
            <w:tcMar>
              <w:right w:w="0" w:type="dxa"/>
            </w:tcMar>
            <w:vAlign w:val="center"/>
          </w:tcPr>
          <w:p>
            <w:pPr>
              <w:pStyle w:val="TableContents"/>
              <w:bidi w:val="0"/>
              <w:spacing w:before="0" w:after="283"/>
              <w:jc w:val="left"/>
              <w:rPr/>
            </w:pPr>
            <w:r>
              <w:rPr/>
            </w:r>
          </w:p>
        </w:tc>
        <w:tc>
          <w:tcPr>
            <w:tcW w:w="9699" w:type="dxa"/>
            <w:tcBorders/>
            <w:tcMar>
              <w:right w:w="0" w:type="dxa"/>
            </w:tcMar>
            <w:vAlign w:val="center"/>
          </w:tcPr>
          <w:p>
            <w:pPr>
              <w:pStyle w:val="TableContents"/>
              <w:bidi w:val="0"/>
              <w:spacing w:before="0" w:after="283"/>
              <w:jc w:val="left"/>
              <w:rPr/>
            </w:pPr>
            <w:r>
              <w:rPr/>
            </w:r>
          </w:p>
        </w:tc>
      </w:tr>
      <w:tr>
        <w:trPr/>
        <w:tc>
          <w:tcPr>
            <w:tcW w:w="230" w:type="dxa"/>
            <w:vMerge w:val="continue"/>
            <w:tcBorders>
              <w:right w:val="single" w:sz="12" w:space="0" w:color="000000"/>
            </w:tcBorders>
            <w:vAlign w:val="center"/>
          </w:tcPr>
          <w:p>
            <w:pPr>
              <w:pStyle w:val="Normal"/>
              <w:bidi w:val="0"/>
              <w:jc w:val="left"/>
              <w:rPr/>
            </w:pPr>
            <w:r>
              <w:rPr/>
            </w:r>
          </w:p>
        </w:tc>
        <w:tc>
          <w:tcPr>
            <w:tcW w:w="23" w:type="dxa"/>
            <w:tcBorders/>
            <w:tcMar>
              <w:right w:w="0" w:type="dxa"/>
            </w:tcMar>
            <w:vAlign w:val="center"/>
          </w:tcPr>
          <w:p>
            <w:pPr>
              <w:pStyle w:val="TableContents"/>
              <w:bidi w:val="0"/>
              <w:spacing w:before="0" w:after="283"/>
              <w:jc w:val="left"/>
              <w:rPr/>
            </w:pPr>
            <w:r>
              <w:rPr/>
            </w:r>
          </w:p>
        </w:tc>
        <w:tc>
          <w:tcPr>
            <w:tcW w:w="230" w:type="dxa"/>
            <w:tcBorders/>
            <w:tcMar>
              <w:right w:w="0" w:type="dxa"/>
            </w:tcMar>
            <w:vAlign w:val="center"/>
          </w:tcPr>
          <w:p>
            <w:pPr>
              <w:pStyle w:val="TableContents"/>
              <w:bidi w:val="0"/>
              <w:spacing w:before="0" w:after="0"/>
              <w:jc w:val="left"/>
              <w:rPr>
                <w:color w:val="000000"/>
              </w:rPr>
            </w:pPr>
            <w:r>
              <w:rPr>
                <w:color w:val="000000"/>
              </w:rPr>
              <w:t>(b)</w:t>
            </w:r>
          </w:p>
        </w:tc>
        <w:tc>
          <w:tcPr>
            <w:tcW w:w="23" w:type="dxa"/>
            <w:tcBorders/>
            <w:tcMar>
              <w:right w:w="0" w:type="dxa"/>
            </w:tcMar>
            <w:vAlign w:val="center"/>
          </w:tcPr>
          <w:p>
            <w:pPr>
              <w:pStyle w:val="TableContents"/>
              <w:bidi w:val="0"/>
              <w:spacing w:before="0" w:after="283"/>
              <w:jc w:val="left"/>
              <w:rPr/>
            </w:pPr>
            <w:r>
              <w:rPr/>
            </w:r>
          </w:p>
        </w:tc>
        <w:tc>
          <w:tcPr>
            <w:tcW w:w="9699" w:type="dxa"/>
            <w:tcBorders/>
            <w:tcMar>
              <w:right w:w="0" w:type="dxa"/>
            </w:tcMar>
            <w:vAlign w:val="center"/>
          </w:tcPr>
          <w:p>
            <w:pPr>
              <w:pStyle w:val="TableContents"/>
              <w:bidi w:val="0"/>
              <w:spacing w:before="0" w:after="0"/>
              <w:jc w:val="left"/>
              <w:rPr>
                <w:color w:val="000000"/>
              </w:rPr>
            </w:pPr>
            <w:r>
              <w:rPr>
                <w:color w:val="00000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30" w:type="dxa"/>
            <w:vMerge w:val="continue"/>
            <w:tcBorders>
              <w:right w:val="single" w:sz="12" w:space="0" w:color="000000"/>
            </w:tcBorders>
            <w:vAlign w:val="center"/>
          </w:tcPr>
          <w:p>
            <w:pPr>
              <w:pStyle w:val="Normal"/>
              <w:bidi w:val="0"/>
              <w:jc w:val="left"/>
              <w:rPr/>
            </w:pPr>
            <w:r>
              <w:rPr/>
            </w:r>
          </w:p>
        </w:tc>
        <w:tc>
          <w:tcPr>
            <w:tcW w:w="23" w:type="dxa"/>
            <w:tcBorders/>
            <w:tcMar>
              <w:right w:w="0" w:type="dxa"/>
            </w:tcMar>
            <w:vAlign w:val="center"/>
          </w:tcPr>
          <w:p>
            <w:pPr>
              <w:pStyle w:val="TableContents"/>
              <w:bidi w:val="0"/>
              <w:spacing w:before="0" w:after="283"/>
              <w:jc w:val="left"/>
              <w:rPr/>
            </w:pPr>
            <w:r>
              <w:rPr/>
            </w:r>
          </w:p>
        </w:tc>
        <w:tc>
          <w:tcPr>
            <w:tcW w:w="230" w:type="dxa"/>
            <w:tcBorders/>
            <w:tcMar>
              <w:right w:w="0" w:type="dxa"/>
            </w:tcMar>
            <w:vAlign w:val="center"/>
          </w:tcPr>
          <w:p>
            <w:pPr>
              <w:pStyle w:val="TableContents"/>
              <w:bidi w:val="0"/>
              <w:spacing w:before="0" w:after="283"/>
              <w:jc w:val="left"/>
              <w:rPr/>
            </w:pPr>
            <w:r>
              <w:rPr/>
            </w:r>
          </w:p>
        </w:tc>
        <w:tc>
          <w:tcPr>
            <w:tcW w:w="23" w:type="dxa"/>
            <w:tcBorders/>
            <w:tcMar>
              <w:right w:w="0" w:type="dxa"/>
            </w:tcMar>
            <w:vAlign w:val="center"/>
          </w:tcPr>
          <w:p>
            <w:pPr>
              <w:pStyle w:val="TableContents"/>
              <w:bidi w:val="0"/>
              <w:spacing w:before="0" w:after="283"/>
              <w:jc w:val="left"/>
              <w:rPr/>
            </w:pPr>
            <w:r>
              <w:rPr/>
            </w:r>
          </w:p>
        </w:tc>
        <w:tc>
          <w:tcPr>
            <w:tcW w:w="9699" w:type="dxa"/>
            <w:tcBorders/>
            <w:tcMar>
              <w:right w:w="0" w:type="dxa"/>
            </w:tcMar>
            <w:vAlign w:val="center"/>
          </w:tcPr>
          <w:p>
            <w:pPr>
              <w:pStyle w:val="TableContents"/>
              <w:bidi w:val="0"/>
              <w:spacing w:before="0" w:after="283"/>
              <w:jc w:val="left"/>
              <w:rPr/>
            </w:pPr>
            <w:r>
              <w:rPr/>
            </w:r>
          </w:p>
        </w:tc>
      </w:tr>
      <w:tr>
        <w:trPr/>
        <w:tc>
          <w:tcPr>
            <w:tcW w:w="230" w:type="dxa"/>
            <w:vMerge w:val="continue"/>
            <w:tcBorders>
              <w:right w:val="single" w:sz="12" w:space="0" w:color="000000"/>
            </w:tcBorders>
            <w:vAlign w:val="center"/>
          </w:tcPr>
          <w:p>
            <w:pPr>
              <w:pStyle w:val="Normal"/>
              <w:bidi w:val="0"/>
              <w:jc w:val="left"/>
              <w:rPr/>
            </w:pPr>
            <w:r>
              <w:rPr/>
            </w:r>
          </w:p>
        </w:tc>
        <w:tc>
          <w:tcPr>
            <w:tcW w:w="23" w:type="dxa"/>
            <w:tcBorders/>
            <w:tcMar>
              <w:right w:w="0" w:type="dxa"/>
            </w:tcMar>
            <w:vAlign w:val="center"/>
          </w:tcPr>
          <w:p>
            <w:pPr>
              <w:pStyle w:val="TableContents"/>
              <w:bidi w:val="0"/>
              <w:spacing w:before="0" w:after="283"/>
              <w:jc w:val="left"/>
              <w:rPr/>
            </w:pPr>
            <w:r>
              <w:rPr/>
            </w:r>
          </w:p>
        </w:tc>
        <w:tc>
          <w:tcPr>
            <w:tcW w:w="230" w:type="dxa"/>
            <w:tcBorders/>
            <w:tcMar>
              <w:right w:w="0" w:type="dxa"/>
            </w:tcMar>
            <w:vAlign w:val="center"/>
          </w:tcPr>
          <w:p>
            <w:pPr>
              <w:pStyle w:val="TableContents"/>
              <w:bidi w:val="0"/>
              <w:spacing w:before="0" w:after="0"/>
              <w:jc w:val="left"/>
              <w:rPr>
                <w:color w:val="000000"/>
              </w:rPr>
            </w:pPr>
            <w:r>
              <w:rPr>
                <w:color w:val="000000"/>
              </w:rPr>
              <w:t>(c)</w:t>
            </w:r>
          </w:p>
        </w:tc>
        <w:tc>
          <w:tcPr>
            <w:tcW w:w="23" w:type="dxa"/>
            <w:tcBorders/>
            <w:tcMar>
              <w:right w:w="0" w:type="dxa"/>
            </w:tcMar>
            <w:vAlign w:val="center"/>
          </w:tcPr>
          <w:p>
            <w:pPr>
              <w:pStyle w:val="TableContents"/>
              <w:bidi w:val="0"/>
              <w:spacing w:before="0" w:after="283"/>
              <w:jc w:val="left"/>
              <w:rPr/>
            </w:pPr>
            <w:r>
              <w:rPr/>
            </w:r>
          </w:p>
        </w:tc>
        <w:tc>
          <w:tcPr>
            <w:tcW w:w="9699" w:type="dxa"/>
            <w:tcBorders/>
            <w:tcMar>
              <w:right w:w="0" w:type="dxa"/>
            </w:tcMar>
            <w:vAlign w:val="center"/>
          </w:tcPr>
          <w:p>
            <w:pPr>
              <w:pStyle w:val="TableContents"/>
              <w:bidi w:val="0"/>
              <w:spacing w:before="0" w:after="0"/>
              <w:jc w:val="left"/>
              <w:rPr>
                <w:color w:val="000000"/>
              </w:rPr>
            </w:pPr>
            <w:r>
              <w:rPr>
                <w:color w:val="000000"/>
              </w:rPr>
              <w:t>The accountant’s statement or other exhibit required by Rule 12b-25(c) has been attached if applicable.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NARRATIVE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 below in reasonable detail why Forms 10-K, 20-F, 11-K, 10-Q, 10-D, N-CEN, N-CSR, or the transition report or portion thereof, could not be filed within the prescribed time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Atlantic American Corporation (the “Company”) is unable to file its Quarterly Report on Form 10-Q for the quarterly period ended June 30, 2026 (the “Q2 Form 10-Q”) within the prescribed time period without unreasonable effort or expense. The Company requires additional time to compile and analyze all requisite financial information, and the supporting documentation required by the recently adopted Accounting Standards Update No. 2018</w:t>
        <w:noBreakHyphen/>
        <w:t>12, Financial Services—Insurance (Topic 944)—Targeted Improvements to the Accounting for Long-Duration Contracts, in order to complete the Annual Report on Form 10-K for the year ended December 31, 2025, the Quarterly Report on Form 10-Q for the quarterly period ended March 31, 2026 and the Q2 Form 10-Q (collectively, the “Delinquent Reports”), and to permit the Company’s independent registered public accounting firm to complete its audit procedures.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previously disclosed, the Company is not in compliance with Nasdaq Listing Rule 5250(c)(1) (the “Rule”), which requires listed companies to timely file all required periodic financial reports with the Securities and Exchange Commission. The Nasdaq Stock Market LLC has granted the Company an extension until October 12, 2026 to regain compliance with the Rule. The Company continues to work diligently to file the Delinquent Reports as promptly as practicable and regain compliance with the Rule within such period.</w:t>
      </w:r>
    </w:p>
    <w:p>
      <w:pPr>
        <w:pStyle w:val="TextBody"/>
        <w:bidi w:val="0"/>
        <w:spacing w:before="0" w:after="0"/>
        <w:jc w:val="left"/>
        <w:rPr>
          <w:color w:val="000000"/>
        </w:rPr>
      </w:pPr>
      <w:r>
        <w:rPr>
          <w:color w:val="00000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d759ff433766415ba57c143221b8bdcd"/>
      <w:bookmarkStart w:id="11" w:name="zd759ff433766415ba57c143221b8bdcd"/>
      <w:bookmarkEnd w:id="11"/>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color w:val="000000"/>
              </w:rPr>
            </w:pPr>
            <w:r>
              <w:rPr>
                <w:color w:val="000000"/>
              </w:rPr>
              <w:t>(1)</w:t>
            </w:r>
          </w:p>
        </w:tc>
        <w:tc>
          <w:tcPr>
            <w:tcW w:w="7340" w:type="dxa"/>
            <w:tcBorders/>
            <w:vAlign w:val="center"/>
          </w:tcPr>
          <w:p>
            <w:pPr>
              <w:pStyle w:val="TableContents"/>
              <w:bidi w:val="0"/>
              <w:spacing w:before="0" w:after="0"/>
              <w:jc w:val="left"/>
              <w:rPr>
                <w:color w:val="000000"/>
              </w:rPr>
            </w:pPr>
            <w:r>
              <w:rPr>
                <w:color w:val="000000"/>
              </w:rPr>
              <w:t>Name and telephone number of person to contact in regard to this notification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dca67285dbcb49bbb72420e3d3a7a81a"/>
      <w:bookmarkStart w:id="13" w:name="zdca67285dbcb49bbb72420e3d3a7a81a"/>
      <w:bookmarkEnd w:id="13"/>
    </w:p>
    <w:tbl>
      <w:tblPr>
        <w:tblW w:w="5146" w:type="dxa"/>
        <w:jc w:val="left"/>
        <w:tblInd w:w="0" w:type="dxa"/>
        <w:tblLayout w:type="fixed"/>
        <w:tblCellMar>
          <w:top w:w="0" w:type="dxa"/>
          <w:left w:w="0" w:type="dxa"/>
          <w:bottom w:w="28" w:type="dxa"/>
          <w:right w:w="0" w:type="dxa"/>
        </w:tblCellMar>
      </w:tblPr>
      <w:tblGrid>
        <w:gridCol w:w="1670"/>
        <w:gridCol w:w="23"/>
        <w:gridCol w:w="1280"/>
        <w:gridCol w:w="23"/>
        <w:gridCol w:w="2150"/>
      </w:tblGrid>
      <w:tr>
        <w:trPr/>
        <w:tc>
          <w:tcPr>
            <w:tcW w:w="1670" w:type="dxa"/>
            <w:tcBorders>
              <w:bottom w:val="single" w:sz="12" w:space="0" w:color="000000"/>
            </w:tcBorders>
            <w:vAlign w:val="center"/>
          </w:tcPr>
          <w:p>
            <w:pPr>
              <w:pStyle w:val="TableContents"/>
              <w:bidi w:val="0"/>
              <w:spacing w:before="0" w:after="0"/>
              <w:jc w:val="center"/>
              <w:rPr>
                <w:b/>
                <w:color w:val="000000"/>
              </w:rPr>
            </w:pPr>
            <w:r>
              <w:rPr>
                <w:b/>
                <w:color w:val="000000"/>
              </w:rPr>
              <w:t>Nickeesha Bates</w:t>
            </w:r>
          </w:p>
        </w:tc>
        <w:tc>
          <w:tcPr>
            <w:tcW w:w="23" w:type="dxa"/>
            <w:tcBorders/>
            <w:tcMar>
              <w:bottom w:w="0" w:type="dxa"/>
            </w:tcMar>
            <w:vAlign w:val="center"/>
          </w:tcPr>
          <w:p>
            <w:pPr>
              <w:pStyle w:val="TableContents"/>
              <w:bidi w:val="0"/>
              <w:spacing w:before="0" w:after="283"/>
              <w:jc w:val="left"/>
              <w:rPr/>
            </w:pPr>
            <w:r>
              <w:rPr/>
            </w:r>
          </w:p>
        </w:tc>
        <w:tc>
          <w:tcPr>
            <w:tcW w:w="1280" w:type="dxa"/>
            <w:tcBorders>
              <w:bottom w:val="single" w:sz="12" w:space="0" w:color="000000"/>
            </w:tcBorders>
            <w:vAlign w:val="center"/>
          </w:tcPr>
          <w:p>
            <w:pPr>
              <w:pStyle w:val="TableContents"/>
              <w:bidi w:val="0"/>
              <w:spacing w:before="0" w:after="0"/>
              <w:jc w:val="center"/>
              <w:rPr>
                <w:b/>
                <w:color w:val="000000"/>
              </w:rPr>
            </w:pPr>
            <w:r>
              <w:rPr>
                <w:b/>
                <w:color w:val="000000"/>
              </w:rPr>
              <w:t>(404)</w:t>
            </w:r>
          </w:p>
        </w:tc>
        <w:tc>
          <w:tcPr>
            <w:tcW w:w="23" w:type="dxa"/>
            <w:tcBorders/>
            <w:tcMar>
              <w:bottom w:w="0" w:type="dxa"/>
            </w:tcMar>
            <w:vAlign w:val="center"/>
          </w:tcPr>
          <w:p>
            <w:pPr>
              <w:pStyle w:val="TableContents"/>
              <w:bidi w:val="0"/>
              <w:spacing w:before="0" w:after="283"/>
              <w:jc w:val="left"/>
              <w:rPr/>
            </w:pPr>
            <w:r>
              <w:rPr/>
            </w:r>
          </w:p>
        </w:tc>
        <w:tc>
          <w:tcPr>
            <w:tcW w:w="2150" w:type="dxa"/>
            <w:tcBorders>
              <w:bottom w:val="single" w:sz="12" w:space="0" w:color="000000"/>
            </w:tcBorders>
            <w:vAlign w:val="center"/>
          </w:tcPr>
          <w:p>
            <w:pPr>
              <w:pStyle w:val="TableContents"/>
              <w:bidi w:val="0"/>
              <w:spacing w:before="0" w:after="0"/>
              <w:jc w:val="center"/>
              <w:rPr>
                <w:b/>
                <w:color w:val="000000"/>
              </w:rPr>
            </w:pPr>
            <w:r>
              <w:rPr>
                <w:b/>
                <w:color w:val="000000"/>
              </w:rPr>
              <w:t>266-5500</w:t>
            </w:r>
          </w:p>
        </w:tc>
      </w:tr>
      <w:tr>
        <w:trPr/>
        <w:tc>
          <w:tcPr>
            <w:tcW w:w="1670" w:type="dxa"/>
            <w:tcBorders/>
            <w:tcMar>
              <w:bottom w:w="0" w:type="dxa"/>
            </w:tcMar>
            <w:vAlign w:val="center"/>
          </w:tcPr>
          <w:p>
            <w:pPr>
              <w:pStyle w:val="TableContents"/>
              <w:bidi w:val="0"/>
              <w:spacing w:before="0" w:after="0"/>
              <w:jc w:val="center"/>
              <w:rPr>
                <w:b/>
                <w:color w:val="000000"/>
              </w:rPr>
            </w:pPr>
            <w:r>
              <w:rPr>
                <w:b/>
                <w:color w:val="000000"/>
              </w:rPr>
              <w:t>(Name)</w:t>
            </w:r>
          </w:p>
        </w:tc>
        <w:tc>
          <w:tcPr>
            <w:tcW w:w="23" w:type="dxa"/>
            <w:tcBorders/>
            <w:tcMar>
              <w:bottom w:w="0" w:type="dxa"/>
            </w:tcMar>
            <w:vAlign w:val="center"/>
          </w:tcPr>
          <w:p>
            <w:pPr>
              <w:pStyle w:val="TableContents"/>
              <w:bidi w:val="0"/>
              <w:spacing w:before="0" w:after="283"/>
              <w:jc w:val="left"/>
              <w:rPr/>
            </w:pPr>
            <w:r>
              <w:rPr/>
            </w:r>
          </w:p>
        </w:tc>
        <w:tc>
          <w:tcPr>
            <w:tcW w:w="1280" w:type="dxa"/>
            <w:tcBorders/>
            <w:tcMar>
              <w:bottom w:w="0" w:type="dxa"/>
            </w:tcMar>
            <w:vAlign w:val="center"/>
          </w:tcPr>
          <w:p>
            <w:pPr>
              <w:pStyle w:val="TableContents"/>
              <w:bidi w:val="0"/>
              <w:spacing w:before="0" w:after="0"/>
              <w:jc w:val="center"/>
              <w:rPr>
                <w:b/>
                <w:color w:val="000000"/>
              </w:rPr>
            </w:pPr>
            <w:r>
              <w:rPr>
                <w:b/>
                <w:color w:val="000000"/>
              </w:rPr>
              <w:t>(Area Code)</w:t>
            </w:r>
          </w:p>
        </w:tc>
        <w:tc>
          <w:tcPr>
            <w:tcW w:w="23" w:type="dxa"/>
            <w:tcBorders/>
            <w:tcMar>
              <w:bottom w:w="0" w:type="dxa"/>
            </w:tcMar>
            <w:vAlign w:val="center"/>
          </w:tcPr>
          <w:p>
            <w:pPr>
              <w:pStyle w:val="TableContents"/>
              <w:bidi w:val="0"/>
              <w:spacing w:before="0" w:after="283"/>
              <w:jc w:val="left"/>
              <w:rPr/>
            </w:pPr>
            <w:r>
              <w:rPr/>
            </w:r>
          </w:p>
        </w:tc>
        <w:tc>
          <w:tcPr>
            <w:tcW w:w="2150" w:type="dxa"/>
            <w:tcBorders/>
            <w:tcMar>
              <w:bottom w:w="0" w:type="dxa"/>
            </w:tcMar>
            <w:vAlign w:val="center"/>
          </w:tcPr>
          <w:p>
            <w:pPr>
              <w:pStyle w:val="TableContents"/>
              <w:bidi w:val="0"/>
              <w:spacing w:before="0" w:after="0"/>
              <w:jc w:val="center"/>
              <w:rPr>
                <w:b/>
                <w:color w:val="000000"/>
              </w:rPr>
            </w:pPr>
            <w:r>
              <w:rPr>
                <w:b/>
                <w:color w:val="000000"/>
              </w:rPr>
              <w:t>(Telephone Number)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ae35ce60757a4afc95ba0b5ad6fb10bc"/>
      <w:bookmarkStart w:id="15" w:name="zae35ce60757a4afc95ba0b5ad6fb10bc"/>
      <w:bookmarkEnd w:id="15"/>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color w:val="000000"/>
              </w:rPr>
            </w:pPr>
            <w:r>
              <w:rPr>
                <w:color w:val="000000"/>
              </w:rPr>
              <w:t>(2)</w:t>
            </w:r>
          </w:p>
        </w:tc>
        <w:tc>
          <w:tcPr>
            <w:tcW w:w="9954" w:type="dxa"/>
            <w:tcBorders/>
            <w:vAlign w:val="center"/>
          </w:tcPr>
          <w:p>
            <w:pPr>
              <w:pStyle w:val="TableContents"/>
              <w:bidi w:val="0"/>
              <w:spacing w:before="0" w:after="0"/>
              <w:jc w:val="left"/>
              <w:rPr>
                <w:color w:val="000000"/>
              </w:rPr>
            </w:pPr>
            <w:r>
              <w:rPr>
                <w:color w:val="00000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 Yes ☒ No</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Annual Report on Form 10-K for the year ended December 31, 2025</w:t>
      </w:r>
    </w:p>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Quarterly Report on Form 10-Q for the quarterly period ended March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2ea010c7cd554294b50c8339f34cda30"/>
      <w:bookmarkStart w:id="17" w:name="z2ea010c7cd554294b50c8339f34cda30"/>
      <w:bookmarkEnd w:id="17"/>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000000"/>
              </w:rPr>
            </w:pPr>
            <w:r>
              <w:rPr>
                <w:color w:val="000000"/>
              </w:rPr>
              <w:t>(3)</w:t>
            </w:r>
          </w:p>
        </w:tc>
        <w:tc>
          <w:tcPr>
            <w:tcW w:w="9944" w:type="dxa"/>
            <w:tcBorders/>
            <w:vAlign w:val="center"/>
          </w:tcPr>
          <w:p>
            <w:pPr>
              <w:pStyle w:val="TableContents"/>
              <w:bidi w:val="0"/>
              <w:spacing w:before="0" w:after="0"/>
              <w:jc w:val="left"/>
              <w:rPr>
                <w:color w:val="000000"/>
              </w:rPr>
            </w:pPr>
            <w:r>
              <w:rPr>
                <w:color w:val="00000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so, attach an explanation of the anticipated change, both narratively and quantitatively, and, if appropriate, state the reasons why a reasonable estimate of the results cannot be made.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document contains forward-looking statements within the meaning of Section 27A of the Securities Act of 1933 and Section 21E of the Securities Exchange Act of 1934. Forward-looking statements are all statements other than those of historical fact and are inherently subject to risks and uncertainties that could cause actual results to differ materially. These forward-looking statements include statements regarding the Company’s expectations with respect to the results of operations to be set forth in the Delinquent Reports, the Company’s ability to file the Delinquent Reports by October 12, 2026 and to regain compliance with Nasdaq listing rules. These statements are based on various assumptions, whether or not identified in this document, and on the current expectations of the Company’s management and are not guarantees of actual performance. Factors that could cause actual results to differ materially from the results expressed or implied by such forward-looking statements include, among others, the results of the Company’s financial reporting procedures and the possibility of adjustments in the Company’s financial reporting process generally. There may be additional risks that the Company does not presently know or that the Company currently believes are immaterial that could also cause actual results to differ from those expressed in or implied by these forward-looking statements. In addition, forward-looking statements reflect the Company’s expectations as of the date of this document. The Company undertakes no obligation to update or revise any forward-looking statements contained herein, except as may be required by law. Accordingly, undue reliance should not be placed upon these forward-looking statements.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Atlantic American 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Charter)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has caused this notification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8736a810bbdc430d916b3f12a9a28b58"/>
      <w:bookmarkStart w:id="19" w:name="z8736a810bbdc430d916b3f12a9a28b58"/>
      <w:bookmarkEnd w:id="19"/>
    </w:p>
    <w:tbl>
      <w:tblPr>
        <w:tblW w:w="9075" w:type="dxa"/>
        <w:jc w:val="left"/>
        <w:tblInd w:w="0" w:type="dxa"/>
        <w:tblLayout w:type="fixed"/>
        <w:tblCellMar>
          <w:top w:w="0" w:type="dxa"/>
          <w:left w:w="0" w:type="dxa"/>
          <w:bottom w:w="0" w:type="dxa"/>
          <w:right w:w="0" w:type="dxa"/>
        </w:tblCellMar>
      </w:tblPr>
      <w:tblGrid>
        <w:gridCol w:w="2180"/>
        <w:gridCol w:w="365"/>
        <w:gridCol w:w="6530"/>
      </w:tblGrid>
      <w:tr>
        <w:trPr/>
        <w:tc>
          <w:tcPr>
            <w:tcW w:w="2180" w:type="dxa"/>
            <w:tcBorders/>
            <w:vAlign w:val="center"/>
          </w:tcPr>
          <w:p>
            <w:pPr>
              <w:pStyle w:val="TableContents"/>
              <w:bidi w:val="0"/>
              <w:spacing w:before="0" w:after="0"/>
              <w:ind w:left="200" w:right="0" w:hanging="200"/>
              <w:jc w:val="left"/>
              <w:rPr>
                <w:color w:val="000000"/>
              </w:rPr>
            </w:pPr>
            <w:r>
              <w:rPr>
                <w:color w:val="000000"/>
              </w:rPr>
              <w:t>Date: August 17, 2026</w:t>
            </w:r>
          </w:p>
        </w:tc>
        <w:tc>
          <w:tcPr>
            <w:tcW w:w="365" w:type="dxa"/>
            <w:tcBorders/>
            <w:vAlign w:val="center"/>
          </w:tcPr>
          <w:p>
            <w:pPr>
              <w:pStyle w:val="TableContents"/>
              <w:bidi w:val="0"/>
              <w:spacing w:before="0" w:after="0"/>
              <w:jc w:val="left"/>
              <w:rPr>
                <w:color w:val="000000"/>
              </w:rPr>
            </w:pPr>
            <w:r>
              <w:rPr>
                <w:color w:val="000000"/>
              </w:rPr>
              <w:t>By:</w:t>
            </w:r>
          </w:p>
        </w:tc>
        <w:tc>
          <w:tcPr>
            <w:tcW w:w="6530" w:type="dxa"/>
            <w:tcBorders>
              <w:bottom w:val="single" w:sz="12" w:space="0" w:color="000000"/>
            </w:tcBorders>
            <w:tcMar>
              <w:bottom w:w="28" w:type="dxa"/>
            </w:tcMar>
            <w:vAlign w:val="center"/>
          </w:tcPr>
          <w:p>
            <w:pPr>
              <w:pStyle w:val="TableContents"/>
              <w:bidi w:val="0"/>
              <w:spacing w:before="0" w:after="0"/>
              <w:jc w:val="left"/>
              <w:rPr>
                <w:color w:val="000000"/>
              </w:rPr>
            </w:pPr>
            <w:r>
              <w:rPr>
                <w:b/>
                <w:color w:val="000000"/>
              </w:rPr>
              <w:t>/</w:t>
            </w:r>
            <w:r>
              <w:rPr>
                <w:color w:val="000000"/>
              </w:rPr>
              <w:t>s/ Nickeesha Bates</w:t>
            </w:r>
          </w:p>
        </w:tc>
      </w:tr>
      <w:tr>
        <w:trPr/>
        <w:tc>
          <w:tcPr>
            <w:tcW w:w="218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6530" w:type="dxa"/>
            <w:tcBorders/>
            <w:vAlign w:val="center"/>
          </w:tcPr>
          <w:p>
            <w:pPr>
              <w:pStyle w:val="TableContents"/>
              <w:bidi w:val="0"/>
              <w:spacing w:before="0" w:after="0"/>
              <w:jc w:val="left"/>
              <w:rPr>
                <w:color w:val="000000"/>
              </w:rPr>
            </w:pPr>
            <w:r>
              <w:rPr>
                <w:color w:val="000000"/>
              </w:rPr>
              <w:t>Nickeesha Bates</w:t>
            </w:r>
          </w:p>
        </w:tc>
      </w:tr>
      <w:tr>
        <w:trPr/>
        <w:tc>
          <w:tcPr>
            <w:tcW w:w="2180"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6530" w:type="dxa"/>
            <w:tcBorders/>
            <w:vAlign w:val="center"/>
          </w:tcPr>
          <w:p>
            <w:pPr>
              <w:pStyle w:val="TableContents"/>
              <w:bidi w:val="0"/>
              <w:spacing w:before="0" w:after="0"/>
              <w:jc w:val="left"/>
              <w:rPr>
                <w:color w:val="000000"/>
              </w:rPr>
            </w:pPr>
            <w:r>
              <w:rPr>
                <w:color w:val="000000"/>
              </w:rPr>
              <w:t>Vice President, Corporate Controller, Corporate Accounting/Finance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5653</Characters>
  <CharactersWithSpaces>6615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