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November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Georgia</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0-3722</w:t>
            </w:r>
          </w:p>
        </w:tc>
        <w:tc>
          <w:tcPr>
            <w:tcW w:w="15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rPr>
              <w:t>58-1027114</w:t>
            </w:r>
          </w:p>
        </w:tc>
      </w:tr>
      <w:tr>
        <w:trPr>
          <w:trHeight w:val="234"/>
        </w:trPr>
        <w:tc>
          <w:tcPr>
            <w:tcW w:w="45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80" w:type="dxa"/>
            <w:vAlign w:val="bottom"/>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52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rPr>
              <w:t>4370 Peachtree Road, N.E., Atlanta, Georgia</w:t>
            </w:r>
          </w:p>
        </w:tc>
        <w:tc>
          <w:tcPr>
            <w:tcW w:w="1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30319</w:t>
            </w:r>
          </w:p>
        </w:tc>
      </w:tr>
      <w:tr>
        <w:trPr>
          <w:trHeight w:val="234"/>
        </w:trPr>
        <w:tc>
          <w:tcPr>
            <w:tcW w:w="452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21"/>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640" w:type="dxa"/>
            <w:vAlign w:val="bottom"/>
          </w:tcPr>
          <w:p>
            <w:pPr>
              <w:spacing w:after="0"/>
              <w:rPr>
                <w:sz w:val="24"/>
                <w:szCs w:val="24"/>
                <w:color w:val="auto"/>
              </w:rPr>
            </w:pP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7"/>
              </w:rPr>
              <w:t>(404) 266-5500</w:t>
            </w:r>
          </w:p>
        </w:tc>
        <w:tc>
          <w:tcPr>
            <w:tcW w:w="3540" w:type="dxa"/>
            <w:vAlign w:val="bottom"/>
            <w:tcBorders>
              <w:bottom w:val="single" w:sz="8" w:color="auto"/>
            </w:tcBorders>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0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AAME</w:t>
            </w:r>
          </w:p>
        </w:tc>
        <w:tc>
          <w:tcPr>
            <w:tcW w:w="260" w:type="dxa"/>
            <w:vAlign w:val="bottom"/>
          </w:tcPr>
          <w:p>
            <w:pPr>
              <w:spacing w:after="0"/>
              <w:rPr>
                <w:sz w:val="20"/>
                <w:szCs w:val="20"/>
                <w:color w:val="auto"/>
              </w:rPr>
            </w:pPr>
          </w:p>
        </w:tc>
        <w:tc>
          <w:tcPr>
            <w:tcW w:w="4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Item 2.02. </w:t>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14, 2025, Atlantic American Corporation (the “Registrant”) reported its results of operations for its third quarter ended September 30, 2025. A copy of the press release issued by the Registrant concerning the foregoing results is furnished herewith as Exhibit 99.1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9.01. </w:t>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Number</w:t>
        <w:tab/>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36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November 14, 2025.</w:t>
      </w:r>
    </w:p>
    <w:p>
      <w:pPr>
        <w:spacing w:after="0" w:line="27"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in such filing. The information in this report, including the exhibit hereto, shall not be deemed to be “filed” for purposes of Section 18 of the Securities Exchange Act of 1934, or otherwise subject to the liabilities of that section or Sections 11 and 12(a)(2) of the Securities Act of 1933.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Chief Financial Officer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RESULTS FOR 2025</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ATLANTA, Georgia, November 14, 2025 - Atlantic American Corporation (Nasdaq- AAME) today reported net income of $0.6 million, or $0.02 per diluted share, for the three month period ended September 30, 2025, compared to net loss of ($2.0) million, or ($0.10) per diluted share, for the three month period ended September 30, 2024. The Company had net income of $4.7 million, or $0.22 per diluted share, for the nine month period ended September 30, 2025, compared to net loss of ($4.7) million, or ($0.24) per diluted share, for the nine month period ended September 30, 2024. The increase in net income for the three month and nine month periods ended September 30, 2025 was primarily the result of increases in premium revenue within the automobile liability, inland marine and automobile physical damage lines of business in the property and casualty operations, as well as increases in the Medicare supplement and group accident and health lines of business within the life and health operations. Also contributing to the increase in net income was an increase in unrealized gains on equity securities during the three month and nine month periods ended September 30,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increased $2.3 million in the three month period ended September 30, 2025 from the three month period ended September 30, 2024. For the nine month period ended September 30, 2025, operating income increased $7.7 million from the comparable period in 2024. The increase in operating income for the three month and nine month periods ended September 30, 2025 was primarily the result of increases in premium revenue in the automobile liability, inland marine and automobile physical damage lines of business within the property and casualty operations, as well as increases in the Medicare supplement and group accident and health lines of business within the life and health operations, as previously mentioned.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Commenting on the results, Hilton H. Howell, Jr., Chairman, President and Chief Executive Officer, stated, “We are excited to share that Atlantic American delivered strong year-to-date results, with net income of $4.7 million through the first nine months of 2025, a significant turnaround from prior year results. Premium revenue grew nearly 12% year-to-date, driven by robust momentum across both property &amp; casualty and life &amp; health segments, supported by new business and solid retention. Operating income also rose sharply, underscoring the strength of our diversified portfolio and disciplined execution. With these results, we believe we are well-positioned to sustain profitable growth and create long-term value for our shareholders.”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Atlantic American Corporation is an insurance holding company involved through its subsidiary companies in specialty markets of the life, health, and property and casualty insurance industries. Its principal insurance subsidiaries are American Southern Insurance Company, American Safety Insurance Company, Bankers Fidelity Life Insurance Company, Bankers Fidelity Assurance Company and Atlantic Capital Life Assurance Company.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Note regarding non-GAAP financial measure: Atlantic American Corporation presents its consolidated financial statements in accordance with U.S. generally accepted accounting principles (GAAP). However, from time to time, the Company may present, in its public statements, press releases and filings with the Securities and Exchange Commission, non-GAAP financial measures such as operating income (loss). We define operating income (loss) as net income (loss) excluding: (i) income tax expense (benefit); (ii) realized investment (gains) losses, net; and (iii) unrealized (gains) losses on equity securities, net. Management believes operating income (loss) is a useful metric for investors, potential investors, securities analysts and others because it isolates the “core” operating results of the Company before considering certain items that are either beyond the control of management (such as income tax expense (benefit), which is subject to timing, regulatory and rate changes depending on the timing of the associated revenues and expenses) or are not expected to regularly impact the Company’s operating results (such as any realized and unrealized investment gains (losses), which are not a part of the Company’s primary operations and are, to a limited extent, subject to discretion in terms of timing of realization). The financial data attached includes a reconciliation of operating income (loss) to net income (loss), the most comparable GAAP financial measure. The Company’s definition of operating income (loss) may differ from similarly titled financial measures used by others. This non-GAAP financial measure should be considered supplemental to, and not a substitute for, financial information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Note regarding forward-looking statements: Except for historical information contained herein, this press release contains forward-looking statements that involve a number of risks and uncertainties. Actual results could differ materially from those indicated by such forward-looking statements due to a number of factors and risks, including, among others: the effects of macroeconomic conditions and general economic uncertainty; unexpected developments in the health care or insurance industries affecting providers or individuals, including the cost or availability of services, or the tax consequences related thereto; disruption to the financial markets; unanticipated increases in the rate, number and amounts of claims outstanding; the level of performance of reinsurance companies under reinsurance contracts and the availability, pricing and adequacy of reinsurance to protect the Company against losses;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potential impact of public health emergencies; the incidence and severity of catastrophes, both natural and man-made; the possible occurrence of terrorist attacks;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the effect of assessments and other surcharges for guaranty funds and other mandatory pooling arrangements; information technology system failures or network disruptions; risks related to cybersecurity matters, such as breaches of our computer network or those of other parties or the loss of or unauthorized access to the data we maintain; and those other risks and uncertainties detailed in statements and reports that the Company files from time to time with the Securities and Exchange Commission. As a result, undue reliance should not be placed upon forward-looking statements, which speak only as of the date they are made. The Company undertakes no obligation to publicly update any forward-looking statements as a result of subsequent developments, changes in underlying assumptions or facts or otherwise, except as may be required by law.</w:t>
      </w:r>
    </w:p>
    <w:p>
      <w:pPr>
        <w:sectPr>
          <w:pgSz w:w="11900" w:h="16838" w:orient="portrait"/>
          <w:cols w:equalWidth="0" w:num="1">
            <w:col w:w="11240"/>
          </w:cols>
          <w:pgMar w:left="320" w:top="119"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Ross Franklin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404-266-5580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Atlantic American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404-266-5505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80" w:space="720"/>
            <w:col w:w="5040"/>
          </w:cols>
          <w:pgMar w:left="320" w:top="119"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data)</w:t>
            </w:r>
          </w:p>
        </w:tc>
        <w:tc>
          <w:tcPr>
            <w:tcW w:w="240" w:type="dxa"/>
            <w:vAlign w:val="bottom"/>
          </w:tcPr>
          <w:p>
            <w:pPr>
              <w:spacing w:after="0"/>
              <w:rPr>
                <w:sz w:val="18"/>
                <w:szCs w:val="18"/>
                <w:color w:val="auto"/>
              </w:rPr>
            </w:pPr>
          </w:p>
        </w:tc>
        <w:tc>
          <w:tcPr>
            <w:tcW w:w="248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8"/>
                <w:szCs w:val="18"/>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59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and health</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81,691</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casualty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51,636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premiums, net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51,972</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44,519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159,175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139,184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and health</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53,467</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casualty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benefits and losses incurred, net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benefits and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46,973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144,993</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(1,998)</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(4,680)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 (basic)</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4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(0.24)</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 (diluted)</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24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September 30,</w:t>
            </w: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subsidiaries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and other</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reserves and policyholder funds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common share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Life and health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casualty</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0"/>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2025-11-14T13:56:22Z</dcterms:created>
  <dcterms:modified xsi:type="dcterms:W3CDTF">2025-11-14T13:56:22Z</dcterms:modified>
</cp:coreProperties>
</file>