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310" w:lineRule="exact"/>
        <w:rPr>
          <w:sz w:val="24"/>
          <w:szCs w:val="24"/>
          <w:color w:val="auto"/>
        </w:rPr>
      </w:pPr>
    </w:p>
    <w:p>
      <w:pPr>
        <w:ind w:left="340" w:right="2480" w:hanging="332"/>
        <w:spacing w:after="0" w:line="399"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238" w:lineRule="exact"/>
        <w:rPr>
          <w:sz w:val="24"/>
          <w:szCs w:val="24"/>
          <w:color w:val="auto"/>
        </w:rPr>
      </w:pPr>
    </w:p>
    <w:p>
      <w:pPr>
        <w:ind w:left="4500" w:right="2360" w:hanging="4492"/>
        <w:spacing w:after="0" w:line="515" w:lineRule="auto"/>
        <w:tabs>
          <w:tab w:leader="none" w:pos="331"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Commission File Number 0-3722</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ATLANTIC AMERICAN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Georgia</w:t>
            </w:r>
          </w:p>
        </w:tc>
        <w:tc>
          <w:tcPr>
            <w:tcW w:w="3760" w:type="dxa"/>
            <w:vAlign w:val="bottom"/>
          </w:tcPr>
          <w:p>
            <w:pPr>
              <w:jc w:val="right"/>
              <w:ind w:right="770"/>
              <w:spacing w:after="0"/>
              <w:rPr>
                <w:sz w:val="20"/>
                <w:szCs w:val="20"/>
                <w:color w:val="auto"/>
              </w:rPr>
            </w:pPr>
            <w:r>
              <w:rPr>
                <w:rFonts w:ascii="Arial" w:cs="Arial" w:eastAsia="Arial" w:hAnsi="Arial"/>
                <w:sz w:val="18"/>
                <w:szCs w:val="18"/>
                <w:b w:val="1"/>
                <w:bCs w:val="1"/>
                <w:color w:val="auto"/>
              </w:rPr>
              <w:t>58-1027114</w:t>
            </w:r>
          </w:p>
        </w:tc>
      </w:tr>
      <w:tr>
        <w:trPr>
          <w:trHeight w:val="230"/>
        </w:trPr>
        <w:tc>
          <w:tcPr>
            <w:tcW w:w="5540" w:type="dxa"/>
            <w:vAlign w:val="bottom"/>
          </w:tcPr>
          <w:p>
            <w:pPr>
              <w:jc w:val="center"/>
              <w:ind w:right="107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760" w:type="dxa"/>
            <w:vAlign w:val="bottom"/>
          </w:tcPr>
          <w:p>
            <w:pPr>
              <w:jc w:val="center"/>
              <w:ind w:left="10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4"/>
        </w:trPr>
        <w:tc>
          <w:tcPr>
            <w:tcW w:w="55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4370 Peachtree Road, N.E.,</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30319</w:t>
            </w:r>
          </w:p>
        </w:tc>
      </w:tr>
      <w:tr>
        <w:trPr>
          <w:trHeight w:val="220"/>
        </w:trPr>
        <w:tc>
          <w:tcPr>
            <w:tcW w:w="55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3"/>
              </w:rPr>
              <w:t>Atlanta, Georgia</w:t>
            </w:r>
          </w:p>
        </w:tc>
        <w:tc>
          <w:tcPr>
            <w:tcW w:w="3760" w:type="dxa"/>
            <w:vAlign w:val="bottom"/>
          </w:tcPr>
          <w:p>
            <w:pPr>
              <w:jc w:val="center"/>
              <w:ind w:left="1090"/>
              <w:spacing w:after="0"/>
              <w:rPr>
                <w:sz w:val="20"/>
                <w:szCs w:val="20"/>
                <w:color w:val="auto"/>
              </w:rPr>
            </w:pPr>
            <w:r>
              <w:rPr>
                <w:rFonts w:ascii="Arial" w:cs="Arial" w:eastAsia="Arial" w:hAnsi="Arial"/>
                <w:sz w:val="18"/>
                <w:szCs w:val="18"/>
                <w:i w:val="1"/>
                <w:iCs w:val="1"/>
                <w:color w:val="auto"/>
                <w:w w:val="91"/>
              </w:rPr>
              <w:t>(Zip Code)</w:t>
            </w:r>
          </w:p>
        </w:tc>
      </w:tr>
      <w:tr>
        <w:trPr>
          <w:trHeight w:val="230"/>
        </w:trPr>
        <w:tc>
          <w:tcPr>
            <w:tcW w:w="5540" w:type="dxa"/>
            <w:vAlign w:val="bottom"/>
          </w:tcPr>
          <w:p>
            <w:pPr>
              <w:jc w:val="center"/>
              <w:ind w:right="10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760" w:type="dxa"/>
            <w:vAlign w:val="bottom"/>
          </w:tcPr>
          <w:p>
            <w:pPr>
              <w:spacing w:after="0"/>
              <w:rPr>
                <w:sz w:val="20"/>
                <w:szCs w:val="20"/>
                <w:color w:val="auto"/>
              </w:rPr>
            </w:pPr>
          </w:p>
        </w:tc>
      </w:tr>
    </w:tbl>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(404) 266-5500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38"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2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1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 Smaller reporting company </w:t>
      </w:r>
      <w:r>
        <w:rPr>
          <w:rFonts w:ascii="MS PGothic" w:cs="MS PGothic" w:eastAsia="MS PGothic" w:hAnsi="MS PGothic"/>
          <w:sz w:val="17"/>
          <w:szCs w:val="17"/>
          <w:color w:val="auto"/>
        </w:rPr>
        <w:t>☑</w:t>
      </w:r>
    </w:p>
    <w:p>
      <w:pPr>
        <w:spacing w:after="0" w:line="264" w:lineRule="exact"/>
        <w:rPr>
          <w:sz w:val="24"/>
          <w:szCs w:val="24"/>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96" w:lineRule="exact"/>
        <w:rPr>
          <w:sz w:val="24"/>
          <w:szCs w:val="24"/>
          <w:color w:val="auto"/>
        </w:rPr>
      </w:pPr>
    </w:p>
    <w:p>
      <w:pPr>
        <w:spacing w:after="0"/>
        <w:rPr>
          <w:sz w:val="20"/>
          <w:szCs w:val="20"/>
          <w:color w:val="auto"/>
        </w:rPr>
      </w:pPr>
      <w:r>
        <w:rPr>
          <w:rFonts w:ascii="Arial" w:cs="Arial" w:eastAsia="Arial" w:hAnsi="Arial"/>
          <w:sz w:val="18"/>
          <w:szCs w:val="18"/>
          <w:color w:val="auto"/>
        </w:rPr>
        <w:t>The total number of shares of the registrant's Common Stock, $1 par value, outstanding on November 6, 2014 was 20,622,126.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41"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gridSpan w:val="9"/>
          </w:tcPr>
          <w:p>
            <w:pPr>
              <w:jc w:val="center"/>
              <w:ind w:right="1840"/>
              <w:spacing w:after="0"/>
              <w:rPr>
                <w:sz w:val="20"/>
                <w:szCs w:val="20"/>
                <w:color w:val="auto"/>
              </w:rPr>
            </w:pPr>
            <w:r>
              <w:rPr>
                <w:rFonts w:ascii="Arial" w:cs="Arial" w:eastAsia="Arial" w:hAnsi="Arial"/>
                <w:sz w:val="18"/>
                <w:szCs w:val="18"/>
                <w:b w:val="1"/>
                <w:bCs w:val="1"/>
                <w:color w:val="auto"/>
              </w:rPr>
              <w:t>ATLANTIC AMERICAN CORPORATION</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80" w:type="dxa"/>
            <w:vAlign w:val="bottom"/>
            <w:gridSpan w:val="9"/>
          </w:tcPr>
          <w:p>
            <w:pPr>
              <w:jc w:val="center"/>
              <w:ind w:right="1840"/>
              <w:spacing w:after="0"/>
              <w:rPr>
                <w:sz w:val="20"/>
                <w:szCs w:val="20"/>
                <w:color w:val="auto"/>
              </w:rPr>
            </w:pPr>
            <w:r>
              <w:rPr>
                <w:rFonts w:ascii="Arial" w:cs="Arial" w:eastAsia="Arial" w:hAnsi="Arial"/>
                <w:sz w:val="18"/>
                <w:szCs w:val="18"/>
                <w:b w:val="1"/>
                <w:bCs w:val="1"/>
                <w:color w:val="auto"/>
                <w:w w:val="98"/>
              </w:rPr>
              <w:t>TABLE OF CONTENTS</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80" w:type="dxa"/>
            <w:vAlign w:val="bottom"/>
            <w:gridSpan w:val="3"/>
          </w:tcPr>
          <w:p>
            <w:pPr>
              <w:spacing w:after="0"/>
              <w:rPr>
                <w:sz w:val="20"/>
                <w:szCs w:val="20"/>
                <w:color w:val="auto"/>
              </w:rPr>
            </w:pPr>
            <w:r>
              <w:rPr>
                <w:rFonts w:ascii="Arial" w:cs="Arial" w:eastAsia="Arial" w:hAnsi="Arial"/>
                <w:sz w:val="18"/>
                <w:szCs w:val="18"/>
                <w:color w:val="auto"/>
              </w:rPr>
              <w:t>Part I.</w:t>
            </w:r>
          </w:p>
        </w:tc>
        <w:tc>
          <w:tcPr>
            <w:tcW w:w="1620" w:type="dxa"/>
            <w:vAlign w:val="bottom"/>
            <w:gridSpan w:val="5"/>
          </w:tcPr>
          <w:p>
            <w:pPr>
              <w:ind w:left="40"/>
              <w:spacing w:after="0"/>
              <w:rPr>
                <w:sz w:val="20"/>
                <w:szCs w:val="20"/>
                <w:color w:val="auto"/>
              </w:rPr>
            </w:pPr>
            <w:r>
              <w:rPr>
                <w:rFonts w:ascii="Arial" w:cs="Arial" w:eastAsia="Arial" w:hAnsi="Arial"/>
                <w:sz w:val="18"/>
                <w:szCs w:val="18"/>
                <w:color w:val="auto"/>
                <w:w w:val="93"/>
              </w:rPr>
              <w:t>Financial Information</w:t>
            </w:r>
          </w:p>
        </w:tc>
        <w:tc>
          <w:tcPr>
            <w:tcW w:w="8180" w:type="dxa"/>
            <w:vAlign w:val="bottom"/>
            <w:gridSpan w:val="10"/>
          </w:tcPr>
          <w:p>
            <w:pPr>
              <w:spacing w:after="0"/>
              <w:rPr>
                <w:sz w:val="24"/>
                <w:szCs w:val="24"/>
                <w:color w:val="auto"/>
              </w:rPr>
            </w:pPr>
          </w:p>
        </w:tc>
        <w:tc>
          <w:tcPr>
            <w:tcW w:w="840" w:type="dxa"/>
            <w:vAlign w:val="bottom"/>
            <w:gridSpan w:val="3"/>
          </w:tcPr>
          <w:p>
            <w:pPr>
              <w:ind w:left="6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40" w:type="dxa"/>
            <w:vAlign w:val="bottom"/>
          </w:tcPr>
          <w:p>
            <w:pPr>
              <w:spacing w:after="0"/>
              <w:rPr>
                <w:sz w:val="24"/>
                <w:szCs w:val="24"/>
                <w:color w:val="auto"/>
              </w:rPr>
            </w:pPr>
          </w:p>
        </w:tc>
        <w:tc>
          <w:tcPr>
            <w:tcW w:w="966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6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2014 and December 31, 2013</w:t>
              </w:r>
            </w:hyperlink>
          </w:p>
        </w:tc>
        <w:tc>
          <w:tcPr>
            <w:tcW w:w="7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60" w:type="dxa"/>
            <w:vAlign w:val="bottom"/>
            <w:gridSpan w:val="14"/>
            <w:shd w:val="clear" w:color="auto" w:fill="CCEEFF"/>
          </w:tcPr>
          <w:p>
            <w:pPr>
              <w:spacing w:after="0" w:line="17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for the three months and nine months ended September 30, 2014 and 2013</w:t>
              </w:r>
            </w:hyperlink>
          </w:p>
        </w:tc>
        <w:tc>
          <w:tcPr>
            <w:tcW w:w="7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and nine months ended September 30, 2014 and</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2013</w:t>
              </w:r>
            </w:hyperlink>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60" w:type="dxa"/>
            <w:vAlign w:val="bottom"/>
            <w:gridSpan w:val="1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Shareholders’ Equity for the nine months ended September 30, 2014 and 2013</w:t>
              </w:r>
            </w:hyperlink>
          </w:p>
        </w:tc>
        <w:tc>
          <w:tcPr>
            <w:tcW w:w="7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6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September 30, 2014 and 2013</w:t>
              </w:r>
            </w:hyperlink>
          </w:p>
        </w:tc>
        <w:tc>
          <w:tcPr>
            <w:tcW w:w="7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6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7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40" w:type="dxa"/>
            <w:vAlign w:val="bottom"/>
            <w:shd w:val="clear" w:color="auto" w:fill="CCEEFF"/>
          </w:tcPr>
          <w:p>
            <w:pPr>
              <w:spacing w:after="0"/>
              <w:rPr>
                <w:sz w:val="17"/>
                <w:szCs w:val="17"/>
                <w:color w:val="auto"/>
              </w:rPr>
            </w:pPr>
          </w:p>
        </w:tc>
        <w:tc>
          <w:tcPr>
            <w:tcW w:w="9660" w:type="dxa"/>
            <w:vAlign w:val="bottom"/>
            <w:gridSpan w:val="1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40" w:type="dxa"/>
            <w:vAlign w:val="bottom"/>
            <w:shd w:val="clear" w:color="auto" w:fill="CCEEFF"/>
          </w:tcPr>
          <w:p>
            <w:pPr>
              <w:spacing w:after="0"/>
              <w:rPr>
                <w:sz w:val="17"/>
                <w:szCs w:val="17"/>
                <w:color w:val="auto"/>
              </w:rPr>
            </w:pPr>
          </w:p>
        </w:tc>
        <w:tc>
          <w:tcPr>
            <w:tcW w:w="966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7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800" w:type="dxa"/>
            <w:vAlign w:val="bottom"/>
            <w:gridSpan w:val="15"/>
            <w:shd w:val="clear" w:color="auto" w:fill="CCEEFF"/>
          </w:tcPr>
          <w:p>
            <w:pPr>
              <w:ind w:left="20"/>
              <w:spacing w:after="0" w:line="176" w:lineRule="exact"/>
              <w:rPr>
                <w:sz w:val="20"/>
                <w:szCs w:val="20"/>
                <w:color w:val="auto"/>
              </w:rPr>
            </w:pPr>
            <w:r>
              <w:rPr>
                <w:rFonts w:ascii="Arial" w:cs="Arial" w:eastAsia="Arial" w:hAnsi="Arial"/>
                <w:sz w:val="18"/>
                <w:szCs w:val="18"/>
                <w:color w:val="auto"/>
              </w:rPr>
              <w:t>Other Information</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40" w:type="dxa"/>
            <w:vAlign w:val="bottom"/>
            <w:shd w:val="clear" w:color="auto" w:fill="CCEEFF"/>
          </w:tcPr>
          <w:p>
            <w:pPr>
              <w:spacing w:after="0"/>
              <w:rPr>
                <w:sz w:val="17"/>
                <w:szCs w:val="17"/>
                <w:color w:val="auto"/>
              </w:rPr>
            </w:pPr>
          </w:p>
        </w:tc>
        <w:tc>
          <w:tcPr>
            <w:tcW w:w="966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7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40" w:type="dxa"/>
            <w:vAlign w:val="bottom"/>
            <w:shd w:val="clear" w:color="auto" w:fill="CCEEFF"/>
          </w:tcPr>
          <w:p>
            <w:pPr>
              <w:spacing w:after="0"/>
              <w:rPr>
                <w:sz w:val="17"/>
                <w:szCs w:val="17"/>
                <w:color w:val="auto"/>
              </w:rPr>
            </w:pPr>
          </w:p>
        </w:tc>
        <w:tc>
          <w:tcPr>
            <w:tcW w:w="966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7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7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Signatures</w:t>
              </w:r>
            </w:hyperlink>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2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0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6580" w:type="dxa"/>
            <w:vAlign w:val="bottom"/>
          </w:tcPr>
          <w:p>
            <w:pPr>
              <w:jc w:val="center"/>
              <w:ind w:left="45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740" w:type="dxa"/>
            <w:vAlign w:val="bottom"/>
            <w:gridSpan w:val="4"/>
          </w:tcPr>
          <w:p>
            <w:pPr>
              <w:spacing w:after="0"/>
              <w:rPr>
                <w:sz w:val="20"/>
                <w:szCs w:val="20"/>
                <w:color w:val="auto"/>
              </w:rPr>
            </w:pPr>
            <w:r>
              <w:rPr>
                <w:rFonts w:ascii="Arial" w:cs="Arial" w:eastAsia="Arial" w:hAnsi="Arial"/>
                <w:sz w:val="18"/>
                <w:szCs w:val="18"/>
                <w:color w:val="auto"/>
              </w:rPr>
              <w:t>Item 1.  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580" w:type="dxa"/>
            <w:vAlign w:val="bottom"/>
          </w:tcPr>
          <w:p>
            <w:pPr>
              <w:jc w:val="center"/>
              <w:ind w:left="450"/>
              <w:spacing w:after="0"/>
              <w:rPr>
                <w:sz w:val="20"/>
                <w:szCs w:val="20"/>
                <w:color w:val="auto"/>
              </w:rPr>
            </w:pPr>
            <w:r>
              <w:rPr>
                <w:rFonts w:ascii="Arial" w:cs="Arial" w:eastAsia="Arial" w:hAnsi="Arial"/>
                <w:sz w:val="18"/>
                <w:szCs w:val="18"/>
                <w:b w:val="1"/>
                <w:bCs w:val="1"/>
                <w:color w:val="auto"/>
              </w:rPr>
              <w:t>ATLANTIC AMERICAN CORPORATION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580" w:type="dxa"/>
            <w:vAlign w:val="bottom"/>
          </w:tcPr>
          <w:p>
            <w:pPr>
              <w:jc w:val="center"/>
              <w:ind w:left="4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580" w:type="dxa"/>
            <w:vAlign w:val="bottom"/>
          </w:tcPr>
          <w:p>
            <w:pPr>
              <w:jc w:val="center"/>
              <w:ind w:left="430"/>
              <w:spacing w:after="0"/>
              <w:rPr>
                <w:sz w:val="20"/>
                <w:szCs w:val="20"/>
                <w:color w:val="auto"/>
              </w:rPr>
            </w:pPr>
            <w:r>
              <w:rPr>
                <w:rFonts w:ascii="Arial" w:cs="Arial" w:eastAsia="Arial" w:hAnsi="Arial"/>
                <w:sz w:val="18"/>
                <w:szCs w:val="18"/>
                <w:i w:val="1"/>
                <w:iCs w:val="1"/>
                <w:color w:val="auto"/>
                <w:w w:val="90"/>
              </w:rPr>
              <w:t>(Dollars in thousands, except per share data)</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58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ASSETS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8"/>
                <w:szCs w:val="18"/>
                <w:i w:val="1"/>
                <w:iCs w:val="1"/>
                <w:color w:val="auto"/>
                <w:w w:val="92"/>
              </w:rPr>
              <w:t>Unaudited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65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16,494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Borders>
              <w:top w:val="single" w:sz="8" w:color="CCEEFF"/>
            </w:tcBorders>
            <w:gridSpan w:val="3"/>
          </w:tcPr>
          <w:p>
            <w:pPr>
              <w:spacing w:after="0" w:line="203" w:lineRule="exact"/>
              <w:rPr>
                <w:sz w:val="20"/>
                <w:szCs w:val="20"/>
                <w:color w:val="auto"/>
              </w:rPr>
            </w:pPr>
            <w:r>
              <w:rPr>
                <w:rFonts w:ascii="Arial" w:cs="Arial" w:eastAsia="Arial" w:hAnsi="Arial"/>
                <w:sz w:val="18"/>
                <w:szCs w:val="18"/>
                <w:color w:val="auto"/>
              </w:rPr>
              <w:t>Investments:</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Fixed maturities (cost: $206,184 and $201,217)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213,100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Common and non-redeemable preferred stocks (cost: $11,969 and $12,432)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15,783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invested assets (cost: $3,064 and $2,123)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Policy loans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Real estate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Investment in unconsolidated trusts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720" w:type="dxa"/>
            <w:vAlign w:val="bottom"/>
            <w:tcBorders>
              <w:top w:val="single" w:sz="8" w:color="CCEEFF"/>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investments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235,429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gridSpan w:val="3"/>
          </w:tcPr>
          <w:p>
            <w:pPr>
              <w:spacing w:after="0" w:line="203" w:lineRule="exact"/>
              <w:rPr>
                <w:sz w:val="20"/>
                <w:szCs w:val="20"/>
                <w:color w:val="auto"/>
              </w:rPr>
            </w:pPr>
            <w:r>
              <w:rPr>
                <w:rFonts w:ascii="Arial" w:cs="Arial" w:eastAsia="Arial" w:hAnsi="Arial"/>
                <w:sz w:val="18"/>
                <w:szCs w:val="18"/>
                <w:color w:val="auto"/>
              </w:rPr>
              <w:t>Receivables: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Reinsurance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Insurance premiums and other (net of allowance for doubtful accounts: $378 and $339)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14,045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Deferred acquisition costs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26,992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Intangibles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2,544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8720" w:type="dxa"/>
            <w:vAlign w:val="bottom"/>
            <w:tcBorders>
              <w:top w:val="single" w:sz="8" w:color="CCEEFF"/>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bottom w:val="single" w:sz="8" w:color="CCEEFF"/>
            </w:tcBorders>
            <w:vMerge w:val="restart"/>
          </w:tcPr>
          <w:p>
            <w:pPr>
              <w:jc w:val="center"/>
              <w:ind w:left="43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40" w:type="dxa"/>
            <w:vAlign w:val="bottom"/>
            <w:gridSpan w:val="4"/>
          </w:tcPr>
          <w:p>
            <w:pPr>
              <w:spacing w:after="0"/>
              <w:rPr>
                <w:sz w:val="20"/>
                <w:szCs w:val="20"/>
                <w:color w:val="auto"/>
              </w:rPr>
            </w:pPr>
            <w:r>
              <w:rPr>
                <w:rFonts w:ascii="Arial" w:cs="Arial" w:eastAsia="Arial" w:hAnsi="Arial"/>
                <w:sz w:val="18"/>
                <w:szCs w:val="18"/>
                <w:color w:val="auto"/>
              </w:rPr>
              <w:t>Insurance reserves and policyholder funds: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Future policy benefits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70,651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Unearned premiums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27,143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Losses and claims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Other policy liabilities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insurance reserves and policyholder funds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15,054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Junior subordinated debenture obligations, net (Note 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33,738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top w:val="single" w:sz="8" w:color="CCEEFF"/>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Preferred stock, $1 par, 4,000,000 shares authorized; Series D preferred, 65,000 shares issued and outstanding; $6,500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redemption value</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0"/>
              </w:rPr>
              <w:t>Common stock, $1 par, 50,000,000 shares authorized; shares issued: 22,400,894; shares outstanding: 20,638,210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gridSpan w:val="3"/>
          </w:tcPr>
          <w:p>
            <w:pPr>
              <w:ind w:left="300"/>
              <w:spacing w:after="0"/>
              <w:rPr>
                <w:sz w:val="20"/>
                <w:szCs w:val="20"/>
                <w:color w:val="auto"/>
              </w:rPr>
            </w:pPr>
            <w:r>
              <w:rPr>
                <w:rFonts w:ascii="Arial" w:cs="Arial" w:eastAsia="Arial" w:hAnsi="Arial"/>
                <w:sz w:val="18"/>
                <w:szCs w:val="18"/>
                <w:color w:val="auto"/>
              </w:rPr>
              <w:t>21,117,874</w:t>
            </w:r>
          </w:p>
        </w:tc>
        <w:tc>
          <w:tcPr>
            <w:tcW w:w="6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22,401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21,111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Unearned stock grant compensation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Treasury stock, at cost: 1,762,684 and 1,283,020 shares</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Borders>
              <w:top w:val="single" w:sz="8" w:color="CCEEFF"/>
              <w:bottom w:val="single" w:sz="8" w:color="CCEEFF"/>
            </w:tcBorders>
            <w:gridSpan w:val="3"/>
          </w:tcPr>
          <w:p>
            <w:pPr>
              <w:ind w:left="320"/>
              <w:spacing w:after="0" w:line="203" w:lineRule="exact"/>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102,182</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100,927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872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316,925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319,381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ATLANTIC AMERICAN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Dollars 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7"/>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7"/>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1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2013</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60" w:type="dxa"/>
            <w:vAlign w:val="bottom"/>
            <w:gridSpan w:val="2"/>
            <w:vMerge w:val="continue"/>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premiums</w:t>
            </w:r>
          </w:p>
        </w:tc>
        <w:tc>
          <w:tcPr>
            <w:tcW w:w="1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38,337</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115,211</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2,534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Realized investment gains, net</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Other income (Note 3)</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124,545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Benefits and expenses: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Insurance benefits and losses incurred</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27,094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26,786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80,991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Commissions and underwriting expenses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10,396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w:t>
            </w: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2,934</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benefits and expenses</w:t>
            </w:r>
          </w:p>
        </w:tc>
        <w:tc>
          <w:tcPr>
            <w:tcW w:w="13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41,069</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40,558</w:t>
            </w: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121,836</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114,782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applicable to common shareholders</w:t>
            </w: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1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13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.06</w:t>
            </w:r>
          </w:p>
        </w:tc>
        <w:tc>
          <w:tcPr>
            <w:tcW w:w="1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.12</w:t>
            </w:r>
          </w:p>
        </w:tc>
        <w:tc>
          <w:tcPr>
            <w:tcW w:w="20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50"/>
              <w:spacing w:after="0" w:line="19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.13</w:t>
            </w:r>
          </w:p>
        </w:tc>
        <w:tc>
          <w:tcPr>
            <w:tcW w:w="2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ATLANTIC AMERICAN CORPORATION CONDENSED CONSOLIDATED STATEMENTS OF COMPREHENSIVE INCOME </w:t>
      </w:r>
      <w:r>
        <w:rPr>
          <w:rFonts w:ascii="Arial" w:cs="Arial" w:eastAsia="Arial" w:hAnsi="Arial"/>
          <w:sz w:val="18"/>
          <w:szCs w:val="18"/>
          <w:i w:val="1"/>
          <w:iCs w:val="1"/>
          <w:color w:val="auto"/>
        </w:rPr>
        <w:t>(Unaudited;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4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7"/>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7"/>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18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2013</w:t>
            </w:r>
          </w:p>
        </w:tc>
        <w:tc>
          <w:tcPr>
            <w:tcW w:w="2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20" w:type="dxa"/>
            <w:vAlign w:val="bottom"/>
            <w:gridSpan w:val="4"/>
          </w:tcPr>
          <w:p>
            <w:pPr>
              <w:spacing w:after="0" w:line="203" w:lineRule="exact"/>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Available-for-sale securities:</w:t>
            </w:r>
          </w:p>
        </w:tc>
        <w:tc>
          <w:tcPr>
            <w:tcW w:w="368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Gross unrealized holding gain (loss) arising in the period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(7,103)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(3,912)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(16,921)</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Related income tax effect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5740" w:type="dxa"/>
            <w:vAlign w:val="bottom"/>
            <w:gridSpan w:val="3"/>
          </w:tcPr>
          <w:p>
            <w:pPr>
              <w:spacing w:after="0" w:line="192" w:lineRule="exact"/>
              <w:rPr>
                <w:sz w:val="20"/>
                <w:szCs w:val="20"/>
                <w:color w:val="auto"/>
              </w:rPr>
            </w:pPr>
            <w:r>
              <w:rPr>
                <w:rFonts w:ascii="Arial" w:cs="Arial" w:eastAsia="Arial" w:hAnsi="Arial"/>
                <w:sz w:val="18"/>
                <w:szCs w:val="18"/>
                <w:color w:val="auto"/>
                <w:w w:val="92"/>
              </w:rPr>
              <w:t>Less: reclassification adjustment for net realized gains included in net income</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(2,283)</w:t>
            </w:r>
          </w:p>
        </w:tc>
        <w:tc>
          <w:tcPr>
            <w:tcW w:w="240" w:type="dxa"/>
            <w:vAlign w:val="bottom"/>
          </w:tcPr>
          <w:p>
            <w:pPr>
              <w:spacing w:after="0"/>
              <w:rPr>
                <w:sz w:val="16"/>
                <w:szCs w:val="16"/>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(1,441)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186"/>
        </w:trPr>
        <w:tc>
          <w:tcPr>
            <w:tcW w:w="2240" w:type="dxa"/>
            <w:vAlign w:val="bottom"/>
            <w:gridSpan w:val="2"/>
          </w:tcPr>
          <w:p>
            <w:pPr>
              <w:jc w:val="right"/>
              <w:ind w:right="1671"/>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5740" w:type="dxa"/>
            <w:vAlign w:val="bottom"/>
            <w:gridSpan w:val="3"/>
            <w:shd w:val="clear" w:color="auto" w:fill="CCEEFF"/>
          </w:tcPr>
          <w:p>
            <w:pPr>
              <w:ind w:left="160"/>
              <w:spacing w:after="0" w:line="230" w:lineRule="exact"/>
              <w:rPr>
                <w:sz w:val="20"/>
                <w:szCs w:val="20"/>
                <w:color w:val="auto"/>
              </w:rPr>
            </w:pPr>
            <w:r>
              <w:rPr>
                <w:rFonts w:ascii="Arial" w:cs="Arial" w:eastAsia="Arial" w:hAnsi="Arial"/>
                <w:sz w:val="16"/>
                <w:szCs w:val="16"/>
                <w:color w:val="auto"/>
              </w:rPr>
              <w:t xml:space="preserve">Related income tax effect </w:t>
            </w:r>
            <w:r>
              <w:rPr>
                <w:rFonts w:ascii="Arial" w:cs="Arial" w:eastAsia="Arial" w:hAnsi="Arial"/>
                <w:sz w:val="26"/>
                <w:szCs w:val="26"/>
                <w:color w:val="auto"/>
                <w:vertAlign w:val="superscript"/>
              </w:rPr>
              <w:t>(2)</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bottom w:val="single" w:sz="8" w:color="CCEEFF"/>
            </w:tcBorders>
          </w:tcPr>
          <w:p>
            <w:pPr>
              <w:spacing w:after="0"/>
              <w:rPr>
                <w:sz w:val="18"/>
                <w:szCs w:val="18"/>
                <w:color w:val="auto"/>
              </w:rPr>
            </w:pPr>
          </w:p>
        </w:tc>
        <w:tc>
          <w:tcPr>
            <w:tcW w:w="5740" w:type="dxa"/>
            <w:vAlign w:val="bottom"/>
            <w:tcBorders>
              <w:top w:val="single" w:sz="8" w:color="CCEEFF"/>
              <w:bottom w:val="single" w:sz="8" w:color="CCEEFF"/>
            </w:tcBorders>
            <w:gridSpan w:val="3"/>
          </w:tcPr>
          <w:p>
            <w:pPr>
              <w:ind w:left="320"/>
              <w:spacing w:after="0" w:line="203" w:lineRule="exact"/>
              <w:rPr>
                <w:sz w:val="20"/>
                <w:szCs w:val="20"/>
                <w:color w:val="auto"/>
              </w:rPr>
            </w:pPr>
            <w:r>
              <w:rPr>
                <w:rFonts w:ascii="Arial" w:cs="Arial" w:eastAsia="Arial" w:hAnsi="Arial"/>
                <w:sz w:val="18"/>
                <w:szCs w:val="18"/>
                <w:color w:val="auto"/>
              </w:rPr>
              <w:t>Net effect on other comprehensive income (loss)</w:t>
            </w:r>
          </w:p>
        </w:tc>
        <w:tc>
          <w:tcPr>
            <w:tcW w:w="1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(5,168</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(4,027</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771</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(16,469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5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Derivative financial instrument:</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Fair value adjustment to derivative financial instrument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5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Related income tax effect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bottom w:val="single" w:sz="8" w:color="CCEEFF"/>
            </w:tcBorders>
          </w:tcPr>
          <w:p>
            <w:pPr>
              <w:spacing w:after="0"/>
              <w:rPr>
                <w:sz w:val="18"/>
                <w:szCs w:val="18"/>
                <w:color w:val="auto"/>
              </w:rPr>
            </w:pPr>
          </w:p>
        </w:tc>
        <w:tc>
          <w:tcPr>
            <w:tcW w:w="5740" w:type="dxa"/>
            <w:vAlign w:val="bottom"/>
            <w:tcBorders>
              <w:top w:val="single" w:sz="8" w:color="CCEEFF"/>
              <w:bottom w:val="single" w:sz="8" w:color="CCEEFF"/>
            </w:tcBorders>
            <w:gridSpan w:val="3"/>
          </w:tcPr>
          <w:p>
            <w:pPr>
              <w:ind w:left="320"/>
              <w:spacing w:after="0" w:line="203" w:lineRule="exact"/>
              <w:rPr>
                <w:sz w:val="20"/>
                <w:szCs w:val="20"/>
                <w:color w:val="auto"/>
              </w:rPr>
            </w:pPr>
            <w:r>
              <w:rPr>
                <w:rFonts w:ascii="Arial" w:cs="Arial" w:eastAsia="Arial" w:hAnsi="Arial"/>
                <w:sz w:val="18"/>
                <w:szCs w:val="18"/>
                <w:color w:val="auto"/>
              </w:rPr>
              <w:t>Net effect on other comprehensive income (loss)</w:t>
            </w:r>
          </w:p>
        </w:tc>
        <w:tc>
          <w:tcPr>
            <w:tcW w:w="1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7"/>
        </w:trPr>
        <w:tc>
          <w:tcPr>
            <w:tcW w:w="5920" w:type="dxa"/>
            <w:vAlign w:val="bottom"/>
            <w:gridSpan w:val="4"/>
          </w:tcPr>
          <w:p>
            <w:pPr>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(3,717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(6,815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300" w:right="280" w:hanging="401"/>
        <w:spacing w:after="0" w:line="194" w:lineRule="auto"/>
        <w:tabs>
          <w:tab w:leader="none" w:pos="130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Realized gains on available-for-sale securities recognized in realized investment gains, net on the accompanying condensed consolidated statements of operations.</w:t>
      </w:r>
    </w:p>
    <w:p>
      <w:pPr>
        <w:ind w:left="1300" w:right="420" w:hanging="401"/>
        <w:spacing w:after="0" w:line="187" w:lineRule="auto"/>
        <w:tabs>
          <w:tab w:leader="none" w:pos="130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Income tax effect on reclassification adjustment for net realized gains included in income tax expense on the accompanying condensed consolidated statements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 xml:space="preserve">ATLANTIC AMERICAN CORPORATION CONDENSED CONSOLIDATED STATEMENTS OF SHAREHOLDERS’ EQUITY </w:t>
      </w:r>
      <w:r>
        <w:rPr>
          <w:rFonts w:ascii="Arial" w:cs="Arial" w:eastAsia="Arial" w:hAnsi="Arial"/>
          <w:sz w:val="18"/>
          <w:szCs w:val="18"/>
          <w:i w:val="1"/>
          <w:iCs w:val="1"/>
          <w:color w:val="auto"/>
        </w:rPr>
        <w:t>(Unaudited;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Accumulated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ind w:left="100"/>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Unearned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Preferred</w:t>
            </w:r>
          </w:p>
        </w:tc>
        <w:tc>
          <w:tcPr>
            <w:tcW w:w="6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Common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Paid-In</w:t>
            </w:r>
          </w:p>
        </w:tc>
        <w:tc>
          <w:tcPr>
            <w:tcW w:w="820" w:type="dxa"/>
            <w:vAlign w:val="bottom"/>
            <w:gridSpan w:val="3"/>
          </w:tcPr>
          <w:p>
            <w:pPr>
              <w:ind w:left="20"/>
              <w:spacing w:after="0"/>
              <w:rPr>
                <w:sz w:val="20"/>
                <w:szCs w:val="20"/>
                <w:color w:val="auto"/>
              </w:rPr>
            </w:pPr>
            <w:r>
              <w:rPr>
                <w:rFonts w:ascii="Arial" w:cs="Arial" w:eastAsia="Arial" w:hAnsi="Arial"/>
                <w:sz w:val="18"/>
                <w:szCs w:val="18"/>
                <w:color w:val="auto"/>
              </w:rPr>
              <w:t>Retained</w:t>
            </w:r>
          </w:p>
        </w:tc>
        <w:tc>
          <w:tcPr>
            <w:tcW w:w="8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Comprehensive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Stock Grant</w:t>
            </w:r>
          </w:p>
        </w:tc>
        <w:tc>
          <w:tcPr>
            <w:tcW w:w="8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Arial" w:cs="Arial" w:eastAsia="Arial" w:hAnsi="Arial"/>
                <w:sz w:val="18"/>
                <w:szCs w:val="18"/>
                <w:color w:val="auto"/>
              </w:rPr>
              <w:t>Treasury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60" w:type="dxa"/>
            <w:vAlign w:val="bottom"/>
            <w:gridSpan w:val="3"/>
          </w:tcPr>
          <w:p>
            <w:pPr>
              <w:spacing w:after="0"/>
              <w:rPr>
                <w:sz w:val="20"/>
                <w:szCs w:val="20"/>
                <w:color w:val="auto"/>
              </w:rPr>
            </w:pPr>
            <w:r>
              <w:rPr>
                <w:rFonts w:ascii="Arial" w:cs="Arial" w:eastAsia="Arial" w:hAnsi="Arial"/>
                <w:sz w:val="18"/>
                <w:szCs w:val="18"/>
                <w:color w:val="auto"/>
              </w:rPr>
              <w:t>Nine Months Ended September 30, 2014</w:t>
            </w:r>
          </w:p>
        </w:tc>
        <w:tc>
          <w:tcPr>
            <w:tcW w:w="12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Stock</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Capital</w:t>
            </w:r>
          </w:p>
        </w:tc>
        <w:tc>
          <w:tcPr>
            <w:tcW w:w="820" w:type="dxa"/>
            <w:vAlign w:val="bottom"/>
            <w:gridSpan w:val="3"/>
          </w:tcPr>
          <w:p>
            <w:pPr>
              <w:ind w:left="20"/>
              <w:spacing w:after="0"/>
              <w:rPr>
                <w:sz w:val="20"/>
                <w:szCs w:val="20"/>
                <w:color w:val="auto"/>
              </w:rPr>
            </w:pPr>
            <w:r>
              <w:rPr>
                <w:rFonts w:ascii="Arial" w:cs="Arial" w:eastAsia="Arial" w:hAnsi="Arial"/>
                <w:sz w:val="18"/>
                <w:szCs w:val="18"/>
                <w:color w:val="auto"/>
              </w:rPr>
              <w:t>Earnings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Income</w:t>
            </w:r>
          </w:p>
        </w:tc>
        <w:tc>
          <w:tcPr>
            <w:tcW w:w="6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w w:val="99"/>
              </w:rPr>
              <w:t>Compensation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Stock</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22,401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18,738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(3,099)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100,927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Dividends on common stock</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accrued on preferred stock</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Restricted stock grants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unearned compensation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Purchase of shares for treasury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shares under stock plans</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Balance, September 30, 2014</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22,401</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57,473</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21,111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6,975</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(5,279</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102,182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Nine Months Ended September 30, 2013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22,401</w:t>
            </w:r>
          </w:p>
        </w:tc>
        <w:tc>
          <w:tcPr>
            <w:tcW w:w="2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57,180</w:t>
            </w:r>
          </w:p>
        </w:tc>
        <w:tc>
          <w:tcPr>
            <w:tcW w:w="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19,571</w:t>
            </w:r>
          </w:p>
        </w:tc>
        <w:tc>
          <w:tcPr>
            <w:tcW w:w="16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Preferred stock redeemed</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common stock</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Dividends accrued on preferred stock</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grants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Amortization of unearned compensation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shares for treasury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Issuance of shares under stock plans</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September 30, 2013</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17,396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ATLANTIC AMERICAN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Dollars in thousands)</w:t>
      </w:r>
    </w:p>
    <w:p>
      <w:pPr>
        <w:spacing w:after="0" w:line="238"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Nine Months Ended</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74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acquisition costs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Acquisition costs deferred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Realized investment gains, net</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Gain on purchase of debt securities (Note 3)</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insurance reserves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Compensation expense related to share awards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Deferred income tax expense</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Increase in receivables, net</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(Decrease) increase in other liabilities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bottom w:val="single" w:sz="8" w:color="CCEEFF"/>
            </w:tcBorders>
          </w:tcPr>
          <w:p>
            <w:pPr>
              <w:ind w:left="480"/>
              <w:spacing w:after="0" w:line="203" w:lineRule="exact"/>
              <w:rPr>
                <w:sz w:val="20"/>
                <w:szCs w:val="20"/>
                <w:color w:val="auto"/>
              </w:rPr>
            </w:pPr>
            <w:r>
              <w:rPr>
                <w:rFonts w:ascii="Arial" w:cs="Arial" w:eastAsia="Arial" w:hAnsi="Arial"/>
                <w:sz w:val="18"/>
                <w:szCs w:val="18"/>
                <w:color w:val="auto"/>
              </w:rPr>
              <w:t>Net cash (used in) provided by operating activities</w:t>
            </w:r>
          </w:p>
        </w:tc>
        <w:tc>
          <w:tcPr>
            <w:tcW w:w="10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(1,773</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investments sold, called or matured</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Investments purchased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(55,051)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(95,004)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Net cash (used in) provided by investing activities</w:t>
            </w:r>
          </w:p>
        </w:tc>
        <w:tc>
          <w:tcPr>
            <w:tcW w:w="10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(5,294</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12,415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for debt securities (Note 3)</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Redemption of Series D preferred stock</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dividends on common stock</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Proceeds from shares issued under stock plans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shares for treasury</w:t>
            </w: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Net cash used in financing activities</w:t>
            </w:r>
          </w:p>
        </w:tc>
        <w:tc>
          <w:tcPr>
            <w:tcW w:w="10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(9,541</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rPr>
          <w:sz w:val="20"/>
          <w:szCs w:val="20"/>
          <w:color w:val="auto"/>
        </w:rPr>
      </w:pPr>
      <w:r>
        <w:rPr>
          <w:rFonts w:ascii="Arial" w:cs="Arial" w:eastAsia="Arial" w:hAnsi="Arial"/>
          <w:sz w:val="15"/>
          <w:szCs w:val="15"/>
          <w:color w:val="auto"/>
        </w:rPr>
        <w:t>Net (decrease) increase in cash and cash equivalents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jc w:val="both"/>
        <w:ind w:left="580"/>
        <w:spacing w:after="0"/>
        <w:tabs>
          <w:tab w:leader="none" w:pos="1980" w:val="left"/>
        </w:tabs>
        <w:rPr>
          <w:sz w:val="20"/>
          <w:szCs w:val="20"/>
          <w:color w:val="auto"/>
        </w:rPr>
      </w:pPr>
      <w:r>
        <w:rPr>
          <w:rFonts w:ascii="Arial" w:cs="Arial" w:eastAsia="Arial" w:hAnsi="Arial"/>
          <w:sz w:val="18"/>
          <w:szCs w:val="18"/>
          <w:color w:val="auto"/>
        </w:rPr>
        <w:t>(16,608)</w:t>
      </w:r>
      <w:r>
        <w:rPr>
          <w:sz w:val="20"/>
          <w:szCs w:val="20"/>
          <w:color w:val="auto"/>
        </w:rPr>
        <w:tab/>
      </w:r>
      <w:r>
        <w:rPr>
          <w:rFonts w:ascii="Arial" w:cs="Arial" w:eastAsia="Arial" w:hAnsi="Arial"/>
          <w:sz w:val="18"/>
          <w:szCs w:val="18"/>
          <w:color w:val="auto"/>
        </w:rPr>
        <w:t>18,301</w:t>
      </w:r>
    </w:p>
    <w:p>
      <w:pPr>
        <w:spacing w:after="0" w:line="9" w:lineRule="exact"/>
        <w:rPr>
          <w:sz w:val="20"/>
          <w:szCs w:val="20"/>
          <w:color w:val="auto"/>
        </w:rPr>
      </w:pPr>
    </w:p>
    <w:p>
      <w:pPr>
        <w:jc w:val="both"/>
        <w:ind w:left="640"/>
        <w:spacing w:after="0"/>
        <w:tabs>
          <w:tab w:leader="none" w:pos="1980" w:val="left"/>
        </w:tabs>
        <w:rPr>
          <w:sz w:val="20"/>
          <w:szCs w:val="20"/>
          <w:color w:val="auto"/>
        </w:rPr>
      </w:pPr>
      <w:r>
        <w:rPr>
          <w:rFonts w:ascii="Arial" w:cs="Arial" w:eastAsia="Arial" w:hAnsi="Arial"/>
          <w:sz w:val="18"/>
          <w:szCs w:val="18"/>
          <w:color w:val="auto"/>
        </w:rPr>
        <w:t>33,102</w:t>
      </w:r>
      <w:r>
        <w:rPr>
          <w:sz w:val="20"/>
          <w:szCs w:val="20"/>
          <w:color w:val="auto"/>
        </w:rPr>
        <w:tab/>
      </w:r>
      <w:r>
        <w:rPr>
          <w:rFonts w:ascii="Arial" w:cs="Arial" w:eastAsia="Arial" w:hAnsi="Arial"/>
          <w:sz w:val="18"/>
          <w:szCs w:val="18"/>
          <w:color w:val="auto"/>
        </w:rPr>
        <w:t>18,951</w:t>
      </w:r>
    </w:p>
    <w:p>
      <w:pPr>
        <w:spacing w:after="0" w:line="49" w:lineRule="exact"/>
        <w:rPr>
          <w:sz w:val="20"/>
          <w:szCs w:val="20"/>
          <w:color w:val="auto"/>
        </w:rPr>
      </w:pPr>
    </w:p>
    <w:p>
      <w:pPr>
        <w:spacing w:after="0"/>
        <w:tabs>
          <w:tab w:leader="none" w:pos="620" w:val="left"/>
          <w:tab w:leader="none" w:pos="1340" w:val="left"/>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16,494</w:t>
        <w:tab/>
        <w:t>$</w:t>
      </w:r>
      <w:r>
        <w:rPr>
          <w:sz w:val="20"/>
          <w:szCs w:val="20"/>
          <w:color w:val="auto"/>
        </w:rPr>
        <w:tab/>
      </w:r>
      <w:r>
        <w:rPr>
          <w:rFonts w:ascii="Arial" w:cs="Arial" w:eastAsia="Arial" w:hAnsi="Arial"/>
          <w:sz w:val="16"/>
          <w:szCs w:val="16"/>
          <w:color w:val="auto"/>
        </w:rPr>
        <w:t>37,252</w:t>
      </w:r>
    </w:p>
    <w:p>
      <w:pPr>
        <w:spacing w:after="0" w:line="23" w:lineRule="exact"/>
        <w:rPr>
          <w:sz w:val="20"/>
          <w:szCs w:val="20"/>
          <w:color w:val="auto"/>
        </w:rPr>
      </w:pPr>
    </w:p>
    <w:p>
      <w:pPr>
        <w:sectPr>
          <w:pgSz w:w="11900" w:h="16838" w:orient="portrait"/>
          <w:cols w:equalWidth="0" w:num="2">
            <w:col w:w="8100" w:space="720"/>
            <w:col w:w="26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440" w:type="dxa"/>
            <w:vAlign w:val="bottom"/>
            <w:tcBorders>
              <w:top w:val="single" w:sz="8" w:color="CCEEFF"/>
            </w:tcBorders>
            <w:shd w:val="clear" w:color="auto" w:fill="CCEEFF"/>
          </w:tcPr>
          <w:p>
            <w:pPr>
              <w:spacing w:after="0"/>
              <w:rPr>
                <w:sz w:val="21"/>
                <w:szCs w:val="21"/>
                <w:color w:val="auto"/>
              </w:rPr>
            </w:pPr>
          </w:p>
        </w:tc>
        <w:tc>
          <w:tcPr>
            <w:tcW w:w="23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7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w:t>
            </w:r>
          </w:p>
        </w:tc>
        <w:tc>
          <w:tcPr>
            <w:tcW w:w="400" w:type="dxa"/>
            <w:vAlign w:val="bottom"/>
            <w:gridSpan w:val="2"/>
            <w:shd w:val="clear" w:color="auto" w:fill="CCEEFF"/>
          </w:tcPr>
          <w:p>
            <w:pPr>
              <w:jc w:val="right"/>
              <w:ind w:right="27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Cash paid for income taxes</w:t>
            </w:r>
          </w:p>
        </w:tc>
        <w:tc>
          <w:tcPr>
            <w:tcW w:w="238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4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442</w:t>
            </w:r>
          </w:p>
        </w:tc>
        <w:tc>
          <w:tcPr>
            <w:tcW w:w="2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486</w:t>
            </w:r>
          </w:p>
        </w:tc>
        <w:tc>
          <w:tcPr>
            <w:tcW w:w="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ATLANTIC AMERICAN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 Dollars in thousands,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w:t>
      </w:r>
      <w:r>
        <w:rPr>
          <w:rFonts w:ascii="Arial" w:cs="Arial" w:eastAsia="Arial" w:hAnsi="Arial"/>
          <w:sz w:val="18"/>
          <w:szCs w:val="18"/>
          <w:b w:val="1"/>
          <w:bCs w:val="1"/>
          <w:color w:val="auto"/>
        </w:rPr>
        <w:t xml:space="preserve"> </w:t>
      </w:r>
      <w:r>
        <w:rPr>
          <w:rFonts w:ascii="Arial" w:cs="Arial" w:eastAsia="Arial" w:hAnsi="Arial"/>
          <w:sz w:val="18"/>
          <w:szCs w:val="18"/>
          <w:color w:val="auto"/>
        </w:rPr>
        <w:t>Basis of Presentation</w:t>
      </w:r>
    </w:p>
    <w:p>
      <w:pPr>
        <w:spacing w:after="0" w:line="256"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accompanying unaudited condensed consolidated financial statements include the accounts of Atlantic American Corporation (the “Parent”) and its subsidiaries (collectively with the Parent, the “Company”). All significant intercompany accounts and transactions have been eliminated in consolidation. The accompanying financial statements have been prepared in accordance with accounting principles generally accepted in the United States of America (“GAAP”) for interim financial information and with the instructions to Form 10-Q and Article 8 of Regulation S-X. Accordingly, they do not include all of the information and notes required by GAAP for audited annual financial statements. In the opinion of management, all adjustments (consisting only of normal recurring adjustments) considered necessary for a fair presentation have been included. The unaudited condensed consolidated financial statements included herein and these related notes should be read in conjunction with the Company’s consolidated financial statements, and the notes thereto, included in the Company’s Annual Report on Form 10-K for the year ended December 31, 2013. The Company’s financial condition and results of operations as of and for the three month and nine month periods ended September 30, 2014 are not necessarily indicative of the financial condition or results of operations that may be expected for the year ending December 31, 2014 or for any other future period.</w:t>
      </w:r>
    </w:p>
    <w:p>
      <w:pPr>
        <w:spacing w:after="0" w:line="20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 of assets and liabilities, disclosures of contingent assets and liabilities at the date of the financial statements, and the reported amounts of revenues and expenses during the reporting period. Actual results could differ materially from those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Information</w:t>
      </w:r>
    </w:p>
    <w:p>
      <w:pPr>
        <w:spacing w:after="0" w:line="2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Company’s primary operating subsidiaries, American Southern Insurance Company and American Safety Insurance Company (together known as “American Southern”) and Bankers Fidelity Life Insurance Company and Bankers Fidelity Assurance Company (together known as “Bankers Fidelity”) operate in two principal business units, each focusing on specific products. American Southern operates in the property and casualty insurance market, while Bankers Fidelity operates in the life and health insurance market. Each business unit is managed independently and is evaluated on its individual performance. The following sets forth the revenue and income before income taxes for each business unit for the three month and nine month periods ended September 30, 2014 and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8"/>
                <w:szCs w:val="18"/>
                <w:color w:val="auto"/>
              </w:rPr>
            </w:pPr>
          </w:p>
        </w:tc>
        <w:tc>
          <w:tcPr>
            <w:tcW w:w="2380" w:type="dxa"/>
            <w:vAlign w:val="bottom"/>
            <w:gridSpan w:val="6"/>
          </w:tcPr>
          <w:p>
            <w:pPr>
              <w:jc w:val="center"/>
              <w:ind w:right="360"/>
              <w:spacing w:after="0"/>
              <w:rPr>
                <w:sz w:val="20"/>
                <w:szCs w:val="20"/>
                <w:color w:val="auto"/>
              </w:rPr>
            </w:pPr>
            <w:r>
              <w:rPr>
                <w:rFonts w:ascii="Arial" w:cs="Arial" w:eastAsia="Arial" w:hAnsi="Arial"/>
                <w:sz w:val="18"/>
                <w:szCs w:val="18"/>
                <w:color w:val="auto"/>
                <w:w w:val="92"/>
              </w:rPr>
              <w:t>Nine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380" w:type="dxa"/>
            <w:vAlign w:val="bottom"/>
            <w:gridSpan w:val="6"/>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American Southern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40,231</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Bankers Fidelity</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26,909</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28,036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81,040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83,097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1,217</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5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revenue</w:t>
            </w:r>
          </w:p>
        </w:tc>
        <w:tc>
          <w:tcPr>
            <w:tcW w:w="13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42,656</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43,247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125,402</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124,545</w:t>
            </w:r>
          </w:p>
        </w:tc>
        <w:tc>
          <w:tcPr>
            <w:tcW w:w="12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380" w:type="dxa"/>
            <w:vAlign w:val="bottom"/>
            <w:gridSpan w:val="6"/>
          </w:tcPr>
          <w:p>
            <w:pPr>
              <w:jc w:val="center"/>
              <w:ind w:right="360"/>
              <w:spacing w:after="0"/>
              <w:rPr>
                <w:sz w:val="20"/>
                <w:szCs w:val="20"/>
                <w:color w:val="auto"/>
              </w:rPr>
            </w:pPr>
            <w:r>
              <w:rPr>
                <w:rFonts w:ascii="Arial" w:cs="Arial" w:eastAsia="Arial" w:hAnsi="Arial"/>
                <w:sz w:val="18"/>
                <w:szCs w:val="18"/>
                <w:color w:val="auto"/>
                <w:w w:val="92"/>
              </w:rPr>
              <w:t>Nine Months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380" w:type="dxa"/>
            <w:vAlign w:val="bottom"/>
            <w:gridSpan w:val="6"/>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American Southern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Bankers Fidelity</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1,051</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2,445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3,833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7,169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(1,668)</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(3,962)</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(3,937)</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5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Income before income taxes</w:t>
            </w:r>
          </w:p>
        </w:tc>
        <w:tc>
          <w:tcPr>
            <w:tcW w:w="13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9,763</w:t>
            </w:r>
          </w:p>
        </w:tc>
        <w:tc>
          <w:tcPr>
            <w:tcW w:w="12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3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91"/>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5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w:t>
      </w:r>
      <w:r>
        <w:rPr>
          <w:rFonts w:ascii="Arial" w:cs="Arial" w:eastAsia="Arial" w:hAnsi="Arial"/>
          <w:sz w:val="18"/>
          <w:szCs w:val="18"/>
          <w:b w:val="1"/>
          <w:bCs w:val="1"/>
          <w:color w:val="auto"/>
        </w:rPr>
        <w:t xml:space="preserve"> </w:t>
      </w:r>
      <w:r>
        <w:rPr>
          <w:rFonts w:ascii="Arial" w:cs="Arial" w:eastAsia="Arial" w:hAnsi="Arial"/>
          <w:sz w:val="18"/>
          <w:szCs w:val="18"/>
          <w:color w:val="auto"/>
        </w:rPr>
        <w:t>Junior Subordinated Debentures</w:t>
      </w:r>
    </w:p>
    <w:p>
      <w:pPr>
        <w:spacing w:after="0" w:line="2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has two unconsolidated Connecticut statutory business trusts, which exist for the exclusive purposes of: (i) issuing trust preferred securities (“Trust Preferred Securities”) representing undivided beneficial interests in the assets of the trusts; (ii) investing the gross proceeds of the Trust Preferred Securities in junior subordinated deferrable interest debentures (“Junior Subordinated Debentures”) of Atlantic American; and (iii) engaging in only those activities necessary or incidental thereto.</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structure of each of Atlantic American Statutory Trust I and II as of September 30, 2014 was as follows:</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Atlantic American</w:t>
            </w:r>
          </w:p>
        </w:tc>
        <w:tc>
          <w:tcPr>
            <w:tcW w:w="10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Atlantic American</w:t>
            </w:r>
          </w:p>
        </w:tc>
        <w:tc>
          <w:tcPr>
            <w:tcW w:w="0" w:type="dxa"/>
            <w:vAlign w:val="bottom"/>
          </w:tcPr>
          <w:p>
            <w:pPr>
              <w:spacing w:after="0"/>
              <w:rPr>
                <w:sz w:val="1"/>
                <w:szCs w:val="1"/>
                <w:color w:val="auto"/>
              </w:rPr>
            </w:pPr>
          </w:p>
        </w:tc>
      </w:tr>
      <w:tr>
        <w:trPr>
          <w:trHeight w:val="237"/>
        </w:trPr>
        <w:tc>
          <w:tcPr>
            <w:tcW w:w="5440" w:type="dxa"/>
            <w:vAlign w:val="bottom"/>
            <w:vMerge w:val="restart"/>
          </w:tcPr>
          <w:p>
            <w:pPr>
              <w:spacing w:after="0"/>
              <w:rPr>
                <w:sz w:val="20"/>
                <w:szCs w:val="20"/>
                <w:color w:val="auto"/>
              </w:rPr>
            </w:pPr>
            <w:r>
              <w:rPr>
                <w:rFonts w:ascii="Arial" w:cs="Arial" w:eastAsia="Arial" w:hAnsi="Arial"/>
                <w:sz w:val="18"/>
                <w:szCs w:val="18"/>
                <w:color w:val="auto"/>
              </w:rPr>
              <w:t xml:space="preserve">JUNIOR SUBORDINATED DEBENTURES </w:t>
            </w:r>
            <w:r>
              <w:rPr>
                <w:rFonts w:ascii="Arial" w:cs="Arial" w:eastAsia="Arial" w:hAnsi="Arial"/>
                <w:sz w:val="30"/>
                <w:szCs w:val="30"/>
                <w:color w:val="auto"/>
                <w:vertAlign w:val="superscript"/>
              </w:rPr>
              <w:t>(1) (2)</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Statutory Trust I</w:t>
            </w:r>
          </w:p>
        </w:tc>
        <w:tc>
          <w:tcPr>
            <w:tcW w:w="100" w:type="dxa"/>
            <w:vAlign w:val="bottom"/>
          </w:tcPr>
          <w:p>
            <w:pPr>
              <w:spacing w:after="0"/>
              <w:rPr>
                <w:sz w:val="20"/>
                <w:szCs w:val="20"/>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Statutory Trust II</w:t>
            </w:r>
          </w:p>
        </w:tc>
        <w:tc>
          <w:tcPr>
            <w:tcW w:w="0" w:type="dxa"/>
            <w:vAlign w:val="bottom"/>
          </w:tcPr>
          <w:p>
            <w:pPr>
              <w:spacing w:after="0"/>
              <w:rPr>
                <w:sz w:val="1"/>
                <w:szCs w:val="1"/>
                <w:color w:val="auto"/>
              </w:rPr>
            </w:pPr>
          </w:p>
        </w:tc>
      </w:tr>
      <w:tr>
        <w:trPr>
          <w:trHeight w:val="203"/>
        </w:trPr>
        <w:tc>
          <w:tcPr>
            <w:tcW w:w="544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owed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23,196</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Balance September 30, 2014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18,042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23,196</w:t>
            </w:r>
          </w:p>
        </w:tc>
        <w:tc>
          <w:tcPr>
            <w:tcW w:w="0" w:type="dxa"/>
            <w:vAlign w:val="bottom"/>
          </w:tcPr>
          <w:p>
            <w:pPr>
              <w:spacing w:after="0"/>
              <w:rPr>
                <w:sz w:val="1"/>
                <w:szCs w:val="1"/>
                <w:color w:val="auto"/>
              </w:rPr>
            </w:pPr>
          </w:p>
        </w:tc>
      </w:tr>
      <w:tr>
        <w:trPr>
          <w:trHeight w:val="250"/>
        </w:trPr>
        <w:tc>
          <w:tcPr>
            <w:tcW w:w="5440" w:type="dxa"/>
            <w:vAlign w:val="bottom"/>
            <w:shd w:val="clear" w:color="auto" w:fill="CCEEFF"/>
          </w:tcPr>
          <w:p>
            <w:pPr>
              <w:spacing w:after="0" w:line="230" w:lineRule="exact"/>
              <w:rPr>
                <w:sz w:val="20"/>
                <w:szCs w:val="20"/>
                <w:color w:val="auto"/>
              </w:rPr>
            </w:pPr>
            <w:r>
              <w:rPr>
                <w:rFonts w:ascii="Arial" w:cs="Arial" w:eastAsia="Arial" w:hAnsi="Arial"/>
                <w:sz w:val="16"/>
                <w:szCs w:val="16"/>
                <w:color w:val="auto"/>
              </w:rPr>
              <w:t xml:space="preserve">Less: Treasury debt </w:t>
            </w:r>
            <w:r>
              <w:rPr>
                <w:rFonts w:ascii="Arial" w:cs="Arial" w:eastAsia="Arial" w:hAnsi="Arial"/>
                <w:sz w:val="26"/>
                <w:szCs w:val="26"/>
                <w:color w:val="auto"/>
                <w:vertAlign w:val="superscript"/>
              </w:rPr>
              <w:t>(3)</w:t>
            </w:r>
          </w:p>
        </w:tc>
        <w:tc>
          <w:tcPr>
            <w:tcW w:w="1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balance September 30, 2014</w:t>
            </w:r>
          </w:p>
        </w:tc>
        <w:tc>
          <w:tcPr>
            <w:tcW w:w="17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18,042</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15,696</w:t>
            </w:r>
          </w:p>
        </w:tc>
        <w:tc>
          <w:tcPr>
            <w:tcW w:w="1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 December 31, 2013</w:t>
            </w:r>
          </w:p>
        </w:tc>
        <w:tc>
          <w:tcPr>
            <w:tcW w:w="1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Arial" w:cs="Arial" w:eastAsia="Arial" w:hAnsi="Arial"/>
                <w:sz w:val="18"/>
                <w:szCs w:val="18"/>
                <w:color w:val="auto"/>
              </w:rPr>
              <w:t>Coupon rate</w:t>
            </w: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LIBOR + 4.00%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w w:val="97"/>
              </w:rPr>
              <w:t>LIBOR + 4.10%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Quarterly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Quarterly</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Maturity date</w:t>
            </w:r>
          </w:p>
        </w:tc>
        <w:tc>
          <w:tcPr>
            <w:tcW w:w="176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December 4, 2032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May 15, 2033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Redeemable by issuer</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TRUST PREFERRED SECURITIES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Issuance date</w:t>
            </w:r>
          </w:p>
        </w:tc>
        <w:tc>
          <w:tcPr>
            <w:tcW w:w="17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December 4, 2002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May 15, 2003</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Securities issued</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Liquidation preference per security</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Liquidation value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Coupon rate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LIBOR + 4.00%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LIBOR + 4.10%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Distribution payable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Quarterly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Quarterly</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Distribution guaranteed by </w:t>
            </w:r>
            <w:r>
              <w:rPr>
                <w:rFonts w:ascii="Arial" w:cs="Arial" w:eastAsia="Arial" w:hAnsi="Arial"/>
                <w:sz w:val="23"/>
                <w:szCs w:val="23"/>
                <w:color w:val="auto"/>
                <w:vertAlign w:val="superscript"/>
              </w:rPr>
              <w:t>(4)</w:t>
            </w:r>
          </w:p>
        </w:tc>
        <w:tc>
          <w:tcPr>
            <w:tcW w:w="17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5"/>
              </w:rPr>
              <w:t>Atlantic American</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7"/>
              </w:rPr>
              <w:t>Atlantic American</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Corporation</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0" w:hanging="328"/>
        <w:spacing w:after="0" w:line="242"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For each of the respective debentures, the Company has the right at any time, and from time to time, to defer payments of interest on the Junior Subordinated Debentures for a period not exceeding 20 consecutive quarters up to the debentures’ respective maturity dates. During any such period, interest will continue to accrue and the Company may not declare or pay any cash dividends or distributions on, or purchase, the Company’s common stock nor make any principal, interest or premium payments on or repurchase any debt securities that rank equally with or junior to the Junior Subordinated Debentures. The Company has the right at any time to dissolve each of the trusts and cause the Junior Subordinated Debentures to be distributed to the holders of the Trust Preferred Securities.</w:t>
      </w:r>
    </w:p>
    <w:p>
      <w:pPr>
        <w:spacing w:after="0" w:line="229" w:lineRule="exact"/>
        <w:rPr>
          <w:rFonts w:ascii="Arial" w:cs="Arial" w:eastAsia="Arial" w:hAnsi="Arial"/>
          <w:sz w:val="28"/>
          <w:szCs w:val="28"/>
          <w:color w:val="auto"/>
          <w:vertAlign w:val="superscript"/>
        </w:rPr>
      </w:pPr>
    </w:p>
    <w:p>
      <w:pPr>
        <w:ind w:left="660" w:right="520" w:hanging="328"/>
        <w:spacing w:after="0" w:line="194" w:lineRule="auto"/>
        <w:tabs>
          <w:tab w:leader="none" w:pos="66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The Junior Subordinated Debentures are unsecured and rank junior and subordinate in right of payment to all senior debt of the Parent and are effectively subordinated to all existing and future liabilities of its subsidiaries.</w:t>
      </w:r>
    </w:p>
    <w:p>
      <w:pPr>
        <w:spacing w:after="0" w:line="229" w:lineRule="exact"/>
        <w:rPr>
          <w:rFonts w:ascii="Arial" w:cs="Arial" w:eastAsia="Arial" w:hAnsi="Arial"/>
          <w:sz w:val="30"/>
          <w:szCs w:val="30"/>
          <w:color w:val="auto"/>
          <w:vertAlign w:val="superscript"/>
        </w:rPr>
      </w:pPr>
    </w:p>
    <w:p>
      <w:pPr>
        <w:jc w:val="both"/>
        <w:ind w:left="660" w:hanging="328"/>
        <w:spacing w:after="0" w:line="209" w:lineRule="auto"/>
        <w:tabs>
          <w:tab w:leader="none" w:pos="66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On August 4, 2014, the Company acquired $7,500 of the Junior Subordinated Debentures. Consideration tendered, upon settlement, was $6,750 plus accrued interest resulting in a gain of $750 recognized in other income on the accompanying condensed consolidated statements of operations for the three month and nine month periods ended September 30, 2014.</w:t>
      </w:r>
    </w:p>
    <w:p>
      <w:pPr>
        <w:spacing w:after="0" w:line="230" w:lineRule="exact"/>
        <w:rPr>
          <w:rFonts w:ascii="Arial" w:cs="Arial" w:eastAsia="Arial" w:hAnsi="Arial"/>
          <w:sz w:val="30"/>
          <w:szCs w:val="30"/>
          <w:color w:val="auto"/>
          <w:vertAlign w:val="superscript"/>
        </w:rPr>
      </w:pPr>
    </w:p>
    <w:p>
      <w:pPr>
        <w:ind w:left="660" w:right="120" w:hanging="328"/>
        <w:spacing w:after="0" w:line="221" w:lineRule="auto"/>
        <w:tabs>
          <w:tab w:leader="none" w:pos="66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The Parent has guaranteed, on a subordinated basis, all of the obligations under the Trust Preferred Securities, including payment of the redemption price and any accumulated and unpaid distributions to the extent of available funds and upon dissolution, winding up or liquidation.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Per Common Share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numerator and denominator used in the earnings per common share calculations is as follows:</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Basic and Diluted Earnings Per Common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preferred stock dividends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applicable to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Basic Earnings Per Common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preferred stock dividends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applicable to common shareholders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Diluted Earnings Per Common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 of Series D preferred stock</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applicable to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Basic and Diluted Earnings Per Common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preferred stock dividends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applicable to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Basic Earnings Per Common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preferred stock dividends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applicable to common shareholders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Diluted Earnings Per Common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 of dilutive stock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of Series D preferred stock</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applicable to common shareholders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September 30, 2014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Per Share Amount</w:t>
            </w:r>
          </w:p>
        </w:tc>
        <w:tc>
          <w:tcPr>
            <w:tcW w:w="0" w:type="dxa"/>
            <w:vAlign w:val="bottom"/>
          </w:tcPr>
          <w:p>
            <w:pPr>
              <w:spacing w:after="0"/>
              <w:rPr>
                <w:sz w:val="1"/>
                <w:szCs w:val="1"/>
                <w:color w:val="auto"/>
              </w:rPr>
            </w:pPr>
          </w:p>
        </w:tc>
      </w:tr>
      <w:tr>
        <w:trPr>
          <w:trHeight w:val="418"/>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1,451</w:t>
            </w:r>
          </w:p>
        </w:tc>
        <w:tc>
          <w:tcPr>
            <w:tcW w:w="140" w:type="dxa"/>
            <w:vAlign w:val="bottom"/>
          </w:tcPr>
          <w:p>
            <w:pPr>
              <w:spacing w:after="0"/>
              <w:rPr>
                <w:sz w:val="24"/>
                <w:szCs w:val="24"/>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20,768</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20,768</w:t>
            </w:r>
          </w:p>
        </w:tc>
        <w:tc>
          <w:tcPr>
            <w:tcW w:w="120" w:type="dxa"/>
            <w:vAlign w:val="bottom"/>
          </w:tcPr>
          <w:p>
            <w:pPr>
              <w:spacing w:after="0"/>
              <w:rPr>
                <w:sz w:val="18"/>
                <w:szCs w:val="18"/>
                <w:color w:val="auto"/>
              </w:rPr>
            </w:pPr>
          </w:p>
        </w:tc>
        <w:tc>
          <w:tcPr>
            <w:tcW w:w="7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
        </w:trPr>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Three Months Ended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93"/>
              </w:rPr>
              <w:t>September 30, 2013</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Per Share Amount</w:t>
            </w:r>
          </w:p>
        </w:tc>
        <w:tc>
          <w:tcPr>
            <w:tcW w:w="0" w:type="dxa"/>
            <w:vAlign w:val="bottom"/>
          </w:tcPr>
          <w:p>
            <w:pPr>
              <w:spacing w:after="0"/>
              <w:rPr>
                <w:sz w:val="1"/>
                <w:szCs w:val="1"/>
                <w:color w:val="auto"/>
              </w:rPr>
            </w:pPr>
          </w:p>
        </w:tc>
      </w:tr>
      <w:tr>
        <w:trPr>
          <w:trHeight w:val="418"/>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2,680</w:t>
            </w:r>
          </w:p>
        </w:tc>
        <w:tc>
          <w:tcPr>
            <w:tcW w:w="140" w:type="dxa"/>
            <w:vAlign w:val="bottom"/>
          </w:tcPr>
          <w:p>
            <w:pPr>
              <w:spacing w:after="0"/>
              <w:rPr>
                <w:sz w:val="24"/>
                <w:szCs w:val="24"/>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21,299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21,299</w:t>
            </w:r>
          </w:p>
        </w:tc>
        <w:tc>
          <w:tcPr>
            <w:tcW w:w="120" w:type="dxa"/>
            <w:vAlign w:val="bottom"/>
          </w:tcPr>
          <w:p>
            <w:pPr>
              <w:spacing w:after="0"/>
              <w:rPr>
                <w:sz w:val="18"/>
                <w:szCs w:val="18"/>
                <w:color w:val="auto"/>
              </w:rPr>
            </w:pPr>
          </w:p>
        </w:tc>
        <w:tc>
          <w:tcPr>
            <w:tcW w:w="7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118</w:t>
            </w:r>
          </w:p>
        </w:tc>
        <w:tc>
          <w:tcPr>
            <w:tcW w:w="17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0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7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22,928</w:t>
            </w:r>
          </w:p>
        </w:tc>
        <w:tc>
          <w:tcPr>
            <w:tcW w:w="120" w:type="dxa"/>
            <w:vAlign w:val="bottom"/>
          </w:tcPr>
          <w:p>
            <w:pPr>
              <w:spacing w:after="0"/>
              <w:rPr>
                <w:sz w:val="18"/>
                <w:szCs w:val="18"/>
                <w:color w:val="auto"/>
              </w:rPr>
            </w:pPr>
          </w:p>
        </w:tc>
        <w:tc>
          <w:tcPr>
            <w:tcW w:w="7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Nine Months Ended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93"/>
              </w:rPr>
              <w:t>September 30, 2014</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Per Share Amount</w:t>
            </w:r>
          </w:p>
        </w:tc>
        <w:tc>
          <w:tcPr>
            <w:tcW w:w="0" w:type="dxa"/>
            <w:vAlign w:val="bottom"/>
          </w:tcPr>
          <w:p>
            <w:pPr>
              <w:spacing w:after="0"/>
              <w:rPr>
                <w:sz w:val="1"/>
                <w:szCs w:val="1"/>
                <w:color w:val="auto"/>
              </w:rPr>
            </w:pPr>
          </w:p>
        </w:tc>
      </w:tr>
      <w:tr>
        <w:trPr>
          <w:trHeight w:val="418"/>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3,148</w:t>
            </w:r>
          </w:p>
        </w:tc>
        <w:tc>
          <w:tcPr>
            <w:tcW w:w="140" w:type="dxa"/>
            <w:vAlign w:val="bottom"/>
          </w:tcPr>
          <w:p>
            <w:pPr>
              <w:spacing w:after="0"/>
              <w:rPr>
                <w:sz w:val="24"/>
                <w:szCs w:val="24"/>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20,885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(353)</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20,885</w:t>
            </w:r>
          </w:p>
        </w:tc>
        <w:tc>
          <w:tcPr>
            <w:tcW w:w="120" w:type="dxa"/>
            <w:vAlign w:val="bottom"/>
          </w:tcPr>
          <w:p>
            <w:pPr>
              <w:spacing w:after="0"/>
              <w:rPr>
                <w:sz w:val="18"/>
                <w:szCs w:val="18"/>
                <w:color w:val="auto"/>
              </w:rPr>
            </w:pPr>
          </w:p>
        </w:tc>
        <w:tc>
          <w:tcPr>
            <w:tcW w:w="7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Nine Months Ended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93"/>
              </w:rPr>
              <w:t>September 30, 2013</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Per Share Amount</w:t>
            </w:r>
          </w:p>
        </w:tc>
        <w:tc>
          <w:tcPr>
            <w:tcW w:w="0" w:type="dxa"/>
            <w:vAlign w:val="bottom"/>
          </w:tcPr>
          <w:p>
            <w:pPr>
              <w:spacing w:after="0"/>
              <w:rPr>
                <w:sz w:val="1"/>
                <w:szCs w:val="1"/>
                <w:color w:val="auto"/>
              </w:rPr>
            </w:pPr>
          </w:p>
        </w:tc>
      </w:tr>
      <w:tr>
        <w:trPr>
          <w:trHeight w:val="418"/>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9,562</w:t>
            </w:r>
          </w:p>
        </w:tc>
        <w:tc>
          <w:tcPr>
            <w:tcW w:w="140" w:type="dxa"/>
            <w:vAlign w:val="bottom"/>
          </w:tcPr>
          <w:p>
            <w:pPr>
              <w:spacing w:after="0"/>
              <w:rPr>
                <w:sz w:val="24"/>
                <w:szCs w:val="24"/>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21,250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21,250</w:t>
            </w:r>
          </w:p>
        </w:tc>
        <w:tc>
          <w:tcPr>
            <w:tcW w:w="120" w:type="dxa"/>
            <w:vAlign w:val="bottom"/>
          </w:tcPr>
          <w:p>
            <w:pPr>
              <w:spacing w:after="0"/>
              <w:rPr>
                <w:sz w:val="18"/>
                <w:szCs w:val="18"/>
                <w:color w:val="auto"/>
              </w:rPr>
            </w:pPr>
          </w:p>
        </w:tc>
        <w:tc>
          <w:tcPr>
            <w:tcW w:w="7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17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22,898</w:t>
            </w:r>
          </w:p>
        </w:tc>
        <w:tc>
          <w:tcPr>
            <w:tcW w:w="120" w:type="dxa"/>
            <w:vAlign w:val="bottom"/>
          </w:tcPr>
          <w:p>
            <w:pPr>
              <w:spacing w:after="0"/>
              <w:rPr>
                <w:sz w:val="18"/>
                <w:szCs w:val="18"/>
                <w:color w:val="auto"/>
              </w:rPr>
            </w:pPr>
          </w:p>
        </w:tc>
        <w:tc>
          <w:tcPr>
            <w:tcW w:w="7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
        </w:trPr>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-5539105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-5247640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-4201795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-3909695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-3601085</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-2400300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-2108835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-1062990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-770890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-462280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-170815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920"/>
          </w:cols>
          <w:pgMar w:left="240" w:top="121" w:right="339" w:bottom="1440" w:gutter="0" w:footer="0" w:header="0"/>
          <w:type w:val="continuous"/>
        </w:sectPr>
      </w:pPr>
    </w:p>
    <w:p>
      <w:pPr>
        <w:spacing w:after="0" w:line="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assumed conversion of the Company’s Series D preferred stock was excluded from the earnings per common share calculation for the three month and nine month periods ended September 30, 2014 since its impact would have been antidilutive.</w:t>
      </w: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differences between income taxes computed at the federal statutory income tax rate and income tax expense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5"/>
          </w:tcPr>
          <w:p>
            <w:pPr>
              <w:jc w:val="center"/>
              <w:ind w:left="256"/>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7"/>
          </w:tcPr>
          <w:p>
            <w:pPr>
              <w:jc w:val="center"/>
              <w:ind w:right="34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gridSpan w:val="5"/>
          </w:tcPr>
          <w:p>
            <w:pPr>
              <w:jc w:val="center"/>
              <w:ind w:left="256"/>
              <w:spacing w:after="0"/>
              <w:rPr>
                <w:sz w:val="20"/>
                <w:szCs w:val="20"/>
                <w:color w:val="auto"/>
              </w:rPr>
            </w:pPr>
            <w:r>
              <w:rPr>
                <w:rFonts w:ascii="Arial" w:cs="Arial" w:eastAsia="Arial" w:hAnsi="Arial"/>
                <w:sz w:val="18"/>
                <w:szCs w:val="18"/>
                <w:color w:val="auto"/>
                <w:w w:val="88"/>
              </w:rPr>
              <w:t>September 30,</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7"/>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2013</w:t>
            </w: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 provision at statutory rate of 35%</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Dividends-received deduction</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Small life insurance company deduction</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(114)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permanent differences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Change in asset valuation allowance due to change in judgment relating to</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realizability of deferred tax assets</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(365)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(799)</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r>
              <w:rPr>
                <w:rFonts w:ascii="Arial" w:cs="Arial" w:eastAsia="Arial" w:hAnsi="Arial"/>
                <w:sz w:val="18"/>
                <w:szCs w:val="18"/>
                <w:color w:val="auto"/>
              </w:rPr>
              <w:t>Adjustment for prior years’ estimates to actual</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components of income tax expense were:</w:t>
            </w: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gridSpan w:val="5"/>
          </w:tcPr>
          <w:p>
            <w:pPr>
              <w:jc w:val="center"/>
              <w:ind w:left="256"/>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7"/>
          </w:tcPr>
          <w:p>
            <w:pPr>
              <w:jc w:val="center"/>
              <w:ind w:right="34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gridSpan w:val="5"/>
          </w:tcPr>
          <w:p>
            <w:pPr>
              <w:jc w:val="center"/>
              <w:ind w:left="256"/>
              <w:spacing w:after="0"/>
              <w:rPr>
                <w:sz w:val="20"/>
                <w:szCs w:val="20"/>
                <w:color w:val="auto"/>
              </w:rPr>
            </w:pPr>
            <w:r>
              <w:rPr>
                <w:rFonts w:ascii="Arial" w:cs="Arial" w:eastAsia="Arial" w:hAnsi="Arial"/>
                <w:sz w:val="18"/>
                <w:szCs w:val="18"/>
                <w:color w:val="auto"/>
                <w:w w:val="88"/>
              </w:rPr>
              <w:t>September 30,</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7"/>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2013</w:t>
            </w: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 Federal</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Deferred - Federal</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732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tax asset valuation allowance</w:t>
            </w: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(365)</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(799)</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17"/>
        </w:trPr>
        <w:tc>
          <w:tcPr>
            <w:tcW w:w="57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The primary differences between the effective tax rate and the federal statutory income tax rate for the three month and nine month periods ended September 30, 2014 and 2013 resulted from the dividends-received deduction (“DRD”), the small life insurance company deduction (“SLD”) and the change in deferred tax asset valuation allowance. The current estimated DRD is adjusted as underlying factors change and can vary from estimates based on, but not limited to, actual distributions from investments as well as the amount of the Company’s taxable income. The SLD varies in amount and is determined at a rate of 60 percent of the tentative life insurance company taxable income (“LICTI”). The SLD for any taxable year is reduced (but not below zero) by 15 percent of the tentative LICTI for such taxable year as it exceeds $3,000 and is ultimately phased out at $15,000. The change in deferred tax asset valuation allowance was due to the unanticipated utilization of certain capital loss carryforward benefits that had been previously reduced to zero through an existing valuation allowance reserve. The provision-to-filed return adjustments are generally updated at the completion of the third quarter of each fiscal year and were $70 and $6 in the three month and nine month periods ended September 30, 2014 and 2013,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and Contingencies</w:t>
      </w:r>
    </w:p>
    <w:p>
      <w:pPr>
        <w:spacing w:after="0" w:line="25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From time to time, the Company is, and expects to continue to be, involved in various claims and lawsuits incidental to and in the ordinary course of its businesses. In the opinion of management, any such known claims are not expected to have a material effect on the financial condition or results of operations of the Company.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w:t>
      </w:r>
    </w:p>
    <w:p>
      <w:pPr>
        <w:spacing w:after="0" w:line="25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tables set forth the carrying value, gross unrealized gains, gross unrealized losses and amortized cost of the Company’s investments, aggregated by type and industry, as of September 30, 2014 and December 31,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340"/>
              <w:spacing w:after="0"/>
              <w:rPr>
                <w:sz w:val="20"/>
                <w:szCs w:val="20"/>
                <w:color w:val="auto"/>
              </w:rPr>
            </w:pPr>
            <w:r>
              <w:rPr>
                <w:rFonts w:ascii="Arial" w:cs="Arial" w:eastAsia="Arial" w:hAnsi="Arial"/>
                <w:sz w:val="18"/>
                <w:szCs w:val="18"/>
                <w:color w:val="auto"/>
              </w:rPr>
              <w:t>Investments were comprised of the following: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color w:val="auto"/>
              </w:rPr>
              <w:t>September 30, 2014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0" w:type="dxa"/>
            <w:vAlign w:val="bottom"/>
          </w:tcPr>
          <w:p>
            <w:pPr>
              <w:spacing w:after="0"/>
              <w:rPr>
                <w:sz w:val="1"/>
                <w:szCs w:val="1"/>
                <w:color w:val="auto"/>
              </w:rPr>
            </w:pPr>
          </w:p>
        </w:tc>
      </w:tr>
      <w:tr>
        <w:trPr>
          <w:trHeight w:val="237"/>
        </w:trPr>
        <w:tc>
          <w:tcPr>
            <w:tcW w:w="5960" w:type="dxa"/>
            <w:vAlign w:val="bottom"/>
            <w:vMerge w:val="restart"/>
          </w:tcPr>
          <w:p>
            <w:pPr>
              <w:spacing w:after="0"/>
              <w:rPr>
                <w:sz w:val="20"/>
                <w:szCs w:val="20"/>
                <w:color w:val="auto"/>
              </w:rPr>
            </w:pPr>
            <w:r>
              <w:rPr>
                <w:rFonts w:ascii="Arial" w:cs="Arial" w:eastAsia="Arial" w:hAnsi="Arial"/>
                <w:sz w:val="18"/>
                <w:szCs w:val="18"/>
                <w:color w:val="auto"/>
              </w:rPr>
              <w:t>Fixed maturities: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Losses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Cost</w:t>
            </w:r>
          </w:p>
        </w:tc>
        <w:tc>
          <w:tcPr>
            <w:tcW w:w="0" w:type="dxa"/>
            <w:vAlign w:val="bottom"/>
          </w:tcPr>
          <w:p>
            <w:pPr>
              <w:spacing w:after="0"/>
              <w:rPr>
                <w:sz w:val="1"/>
                <w:szCs w:val="1"/>
                <w:color w:val="auto"/>
              </w:rPr>
            </w:pPr>
          </w:p>
        </w:tc>
      </w:tr>
      <w:tr>
        <w:trPr>
          <w:trHeight w:val="188"/>
        </w:trPr>
        <w:tc>
          <w:tcPr>
            <w:tcW w:w="5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Bonds: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U.S. Treasury securities and obligations of U.S. Government agencies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authorities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32,890</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5,203</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4,615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500"/>
              <w:spacing w:after="0"/>
              <w:rPr>
                <w:sz w:val="20"/>
                <w:szCs w:val="20"/>
                <w:color w:val="auto"/>
              </w:rPr>
            </w:pPr>
            <w:r>
              <w:rPr>
                <w:rFonts w:ascii="Arial" w:cs="Arial" w:eastAsia="Arial" w:hAnsi="Arial"/>
                <w:sz w:val="18"/>
                <w:szCs w:val="18"/>
                <w:color w:val="auto"/>
              </w:rPr>
              <w:t>Utilities and telecom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13,726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2,103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11,623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Financial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53,526</w:t>
            </w:r>
          </w:p>
        </w:tc>
        <w:tc>
          <w:tcPr>
            <w:tcW w:w="0" w:type="dxa"/>
            <w:vAlign w:val="bottom"/>
          </w:tcPr>
          <w:p>
            <w:pPr>
              <w:spacing w:after="0"/>
              <w:rPr>
                <w:sz w:val="1"/>
                <w:szCs w:val="1"/>
                <w:color w:val="auto"/>
              </w:rPr>
            </w:pPr>
          </w:p>
        </w:tc>
      </w:tr>
      <w:tr>
        <w:trPr>
          <w:trHeight w:val="216"/>
        </w:trPr>
        <w:tc>
          <w:tcPr>
            <w:tcW w:w="5960" w:type="dxa"/>
            <w:vAlign w:val="bottom"/>
          </w:tcPr>
          <w:p>
            <w:pPr>
              <w:ind w:left="500"/>
              <w:spacing w:after="0"/>
              <w:rPr>
                <w:sz w:val="20"/>
                <w:szCs w:val="20"/>
                <w:color w:val="auto"/>
              </w:rPr>
            </w:pPr>
            <w:r>
              <w:rPr>
                <w:rFonts w:ascii="Arial" w:cs="Arial" w:eastAsia="Arial" w:hAnsi="Arial"/>
                <w:sz w:val="18"/>
                <w:szCs w:val="18"/>
                <w:color w:val="auto"/>
              </w:rPr>
              <w:t>Other business – diversified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74,696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2,467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73,138</w:t>
            </w:r>
          </w:p>
        </w:tc>
        <w:tc>
          <w:tcPr>
            <w:tcW w:w="0" w:type="dxa"/>
            <w:vAlign w:val="bottom"/>
          </w:tcPr>
          <w:p>
            <w:pPr>
              <w:spacing w:after="0"/>
              <w:rPr>
                <w:sz w:val="1"/>
                <w:szCs w:val="1"/>
                <w:color w:val="auto"/>
              </w:rPr>
            </w:pPr>
          </w:p>
        </w:tc>
      </w:tr>
      <w:tr>
        <w:trPr>
          <w:trHeight w:val="250"/>
        </w:trPr>
        <w:tc>
          <w:tcPr>
            <w:tcW w:w="5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consumer – diversified</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29,600</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bottom w:val="single" w:sz="8" w:color="CCEEFF"/>
            </w:tcBorders>
          </w:tcPr>
          <w:p>
            <w:pPr>
              <w:ind w:left="660"/>
              <w:spacing w:after="0" w:line="203" w:lineRule="exact"/>
              <w:rPr>
                <w:sz w:val="20"/>
                <w:szCs w:val="20"/>
                <w:color w:val="auto"/>
              </w:rPr>
            </w:pPr>
            <w:r>
              <w:rPr>
                <w:rFonts w:ascii="Arial" w:cs="Arial" w:eastAsia="Arial" w:hAnsi="Arial"/>
                <w:sz w:val="18"/>
                <w:szCs w:val="18"/>
                <w:color w:val="auto"/>
              </w:rPr>
              <w:t>Total corporate securities</w:t>
            </w: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173,603</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7,955</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2,239</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167,887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preferred stocks: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Financial services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50"/>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consumer – diversified</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bottom w:val="single" w:sz="8" w:color="CCEEFF"/>
            </w:tcBorders>
          </w:tcPr>
          <w:p>
            <w:pPr>
              <w:ind w:left="500"/>
              <w:spacing w:after="0" w:line="203" w:lineRule="exact"/>
              <w:rPr>
                <w:sz w:val="20"/>
                <w:szCs w:val="20"/>
                <w:color w:val="auto"/>
              </w:rPr>
            </w:pPr>
            <w:r>
              <w:rPr>
                <w:rFonts w:ascii="Arial" w:cs="Arial" w:eastAsia="Arial" w:hAnsi="Arial"/>
                <w:sz w:val="18"/>
                <w:szCs w:val="18"/>
                <w:color w:val="auto"/>
              </w:rPr>
              <w:t>Total redeemable preferred stocks</w:t>
            </w: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797</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fixed maturities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206,184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line="203" w:lineRule="exact"/>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and non-redeemable preferred stocks: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Utilities and telecom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Other business – diversified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0"/>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consumer – diversified</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2,529</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bottom w:val="single" w:sz="8" w:color="CCEEFF"/>
            </w:tcBorders>
          </w:tcPr>
          <w:p>
            <w:pPr>
              <w:ind w:left="660"/>
              <w:spacing w:after="0" w:line="203" w:lineRule="exact"/>
              <w:rPr>
                <w:sz w:val="20"/>
                <w:szCs w:val="20"/>
                <w:color w:val="auto"/>
              </w:rPr>
            </w:pPr>
            <w:r>
              <w:rPr>
                <w:rFonts w:ascii="Arial" w:cs="Arial" w:eastAsia="Arial" w:hAnsi="Arial"/>
                <w:sz w:val="18"/>
                <w:szCs w:val="18"/>
                <w:color w:val="auto"/>
              </w:rPr>
              <w:t>Total equity securities</w:t>
            </w: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15,783</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3,814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11,969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Policy loans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Investments in unconsolidated trusts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55"/>
        </w:trPr>
        <w:tc>
          <w:tcPr>
            <w:tcW w:w="596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investments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5600"/>
              <w:spacing w:after="0"/>
              <w:rPr>
                <w:sz w:val="20"/>
                <w:szCs w:val="20"/>
                <w:color w:val="auto"/>
              </w:rPr>
            </w:pPr>
            <w:r>
              <w:rPr>
                <w:rFonts w:ascii="Arial" w:cs="Arial" w:eastAsia="Arial" w:hAnsi="Arial"/>
                <w:sz w:val="14"/>
                <w:szCs w:val="14"/>
                <w:color w:val="auto"/>
              </w:rPr>
              <w:t>-11-</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5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1020" w:type="dxa"/>
            <w:vAlign w:val="bottom"/>
            <w:tcBorders>
              <w:top w:val="single" w:sz="8" w:color="0000EE"/>
            </w:tcBorders>
          </w:tcPr>
          <w:p>
            <w:pPr>
              <w:spacing w:after="0"/>
              <w:rPr>
                <w:sz w:val="24"/>
                <w:szCs w:val="24"/>
                <w:color w:val="auto"/>
              </w:rPr>
            </w:pPr>
          </w:p>
        </w:tc>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color w:val="auto"/>
              </w:rPr>
              <w:t>December 31, 2013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0" w:type="dxa"/>
            <w:vAlign w:val="bottom"/>
          </w:tcPr>
          <w:p>
            <w:pPr>
              <w:spacing w:after="0"/>
              <w:rPr>
                <w:sz w:val="1"/>
                <w:szCs w:val="1"/>
                <w:color w:val="auto"/>
              </w:rPr>
            </w:pPr>
          </w:p>
        </w:tc>
      </w:tr>
      <w:tr>
        <w:trPr>
          <w:trHeight w:val="237"/>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Fixed maturities: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Losses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Cost</w:t>
            </w:r>
          </w:p>
        </w:tc>
        <w:tc>
          <w:tcPr>
            <w:tcW w:w="0" w:type="dxa"/>
            <w:vAlign w:val="bottom"/>
          </w:tcPr>
          <w:p>
            <w:pPr>
              <w:spacing w:after="0"/>
              <w:rPr>
                <w:sz w:val="1"/>
                <w:szCs w:val="1"/>
                <w:color w:val="auto"/>
              </w:rPr>
            </w:pPr>
          </w:p>
        </w:tc>
      </w:tr>
      <w:tr>
        <w:trPr>
          <w:trHeight w:val="188"/>
        </w:trPr>
        <w:tc>
          <w:tcPr>
            <w:tcW w:w="5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80" w:type="dxa"/>
            <w:vAlign w:val="bottom"/>
            <w:gridSpan w:val="2"/>
          </w:tcPr>
          <w:p>
            <w:pPr>
              <w:ind w:left="180"/>
              <w:spacing w:after="0"/>
              <w:rPr>
                <w:sz w:val="20"/>
                <w:szCs w:val="20"/>
                <w:color w:val="auto"/>
              </w:rPr>
            </w:pPr>
            <w:r>
              <w:rPr>
                <w:rFonts w:ascii="Arial" w:cs="Arial" w:eastAsia="Arial" w:hAnsi="Arial"/>
                <w:sz w:val="18"/>
                <w:szCs w:val="18"/>
                <w:color w:val="auto"/>
              </w:rPr>
              <w:t>Bonds: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U.S. Treasury securities and obligations of U.S. Government agencies and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authorities</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16,874</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Obligations of states and political subdivisions</w:t>
            </w: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7,611</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402</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7,226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Corporate securities: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ind w:left="500"/>
              <w:spacing w:after="0"/>
              <w:rPr>
                <w:sz w:val="20"/>
                <w:szCs w:val="20"/>
                <w:color w:val="auto"/>
              </w:rPr>
            </w:pPr>
            <w:r>
              <w:rPr>
                <w:rFonts w:ascii="Arial" w:cs="Arial" w:eastAsia="Arial" w:hAnsi="Arial"/>
                <w:sz w:val="18"/>
                <w:szCs w:val="18"/>
                <w:color w:val="auto"/>
              </w:rPr>
              <w:t>Utilities and telecom</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16,532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1,353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15,186</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Financial services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49,115</w:t>
            </w:r>
          </w:p>
        </w:tc>
        <w:tc>
          <w:tcPr>
            <w:tcW w:w="0" w:type="dxa"/>
            <w:vAlign w:val="bottom"/>
          </w:tcPr>
          <w:p>
            <w:pPr>
              <w:spacing w:after="0"/>
              <w:rPr>
                <w:sz w:val="1"/>
                <w:szCs w:val="1"/>
                <w:color w:val="auto"/>
              </w:rPr>
            </w:pPr>
          </w:p>
        </w:tc>
      </w:tr>
      <w:tr>
        <w:trPr>
          <w:trHeight w:val="216"/>
        </w:trPr>
        <w:tc>
          <w:tcPr>
            <w:tcW w:w="5880" w:type="dxa"/>
            <w:vAlign w:val="bottom"/>
            <w:gridSpan w:val="2"/>
          </w:tcPr>
          <w:p>
            <w:pPr>
              <w:ind w:left="500"/>
              <w:spacing w:after="0"/>
              <w:rPr>
                <w:sz w:val="20"/>
                <w:szCs w:val="20"/>
                <w:color w:val="auto"/>
              </w:rPr>
            </w:pPr>
            <w:r>
              <w:rPr>
                <w:rFonts w:ascii="Arial" w:cs="Arial" w:eastAsia="Arial" w:hAnsi="Arial"/>
                <w:sz w:val="18"/>
                <w:szCs w:val="18"/>
                <w:color w:val="auto"/>
              </w:rPr>
              <w:t>Other business – diversified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70,326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72,362</w:t>
            </w:r>
          </w:p>
        </w:tc>
        <w:tc>
          <w:tcPr>
            <w:tcW w:w="0" w:type="dxa"/>
            <w:vAlign w:val="bottom"/>
          </w:tcPr>
          <w:p>
            <w:pPr>
              <w:spacing w:after="0"/>
              <w:rPr>
                <w:sz w:val="1"/>
                <w:szCs w:val="1"/>
                <w:color w:val="auto"/>
              </w:rPr>
            </w:pPr>
          </w:p>
        </w:tc>
      </w:tr>
      <w:tr>
        <w:trPr>
          <w:trHeight w:val="250"/>
        </w:trPr>
        <w:tc>
          <w:tcPr>
            <w:tcW w:w="5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Other consumer – diversified</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38,066</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bottom w:val="single" w:sz="8" w:color="CCEEFF"/>
            </w:tcBorders>
            <w:gridSpan w:val="2"/>
          </w:tcPr>
          <w:p>
            <w:pPr>
              <w:ind w:left="660"/>
              <w:spacing w:after="0" w:line="203" w:lineRule="exact"/>
              <w:rPr>
                <w:sz w:val="20"/>
                <w:szCs w:val="20"/>
                <w:color w:val="auto"/>
              </w:rPr>
            </w:pPr>
            <w:r>
              <w:rPr>
                <w:rFonts w:ascii="Arial" w:cs="Arial" w:eastAsia="Arial" w:hAnsi="Arial"/>
                <w:sz w:val="18"/>
                <w:szCs w:val="18"/>
                <w:color w:val="auto"/>
              </w:rPr>
              <w:t>Total corporate securities</w:t>
            </w: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174,101</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4,350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4,978</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174,729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Redeemable preferred stocks: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ind w:left="340"/>
              <w:spacing w:after="0"/>
              <w:rPr>
                <w:sz w:val="20"/>
                <w:szCs w:val="20"/>
                <w:color w:val="auto"/>
              </w:rPr>
            </w:pPr>
            <w:r>
              <w:rPr>
                <w:rFonts w:ascii="Arial" w:cs="Arial" w:eastAsia="Arial" w:hAnsi="Arial"/>
                <w:sz w:val="18"/>
                <w:szCs w:val="18"/>
                <w:color w:val="auto"/>
              </w:rPr>
              <w:t>Financial services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50"/>
        </w:trPr>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consumer – diversified</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bottom w:val="single" w:sz="8" w:color="CCEEFF"/>
            </w:tcBorders>
            <w:gridSpan w:val="2"/>
          </w:tcPr>
          <w:p>
            <w:pPr>
              <w:ind w:left="500"/>
              <w:spacing w:after="0" w:line="203" w:lineRule="exact"/>
              <w:rPr>
                <w:sz w:val="20"/>
                <w:szCs w:val="20"/>
                <w:color w:val="auto"/>
              </w:rPr>
            </w:pPr>
            <w:r>
              <w:rPr>
                <w:rFonts w:ascii="Arial" w:cs="Arial" w:eastAsia="Arial" w:hAnsi="Arial"/>
                <w:sz w:val="18"/>
                <w:szCs w:val="18"/>
                <w:color w:val="auto"/>
              </w:rPr>
              <w:t>Total redeemable preferred stocks</w:t>
            </w: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2,351</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fixed maturities</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201,217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3" w:lineRule="exact"/>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and non-redeemable preferred stocks: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ind w:left="340"/>
              <w:spacing w:after="0"/>
              <w:rPr>
                <w:sz w:val="20"/>
                <w:szCs w:val="20"/>
                <w:color w:val="auto"/>
              </w:rPr>
            </w:pPr>
            <w:r>
              <w:rPr>
                <w:rFonts w:ascii="Arial" w:cs="Arial" w:eastAsia="Arial" w:hAnsi="Arial"/>
                <w:sz w:val="18"/>
                <w:szCs w:val="18"/>
                <w:color w:val="auto"/>
              </w:rPr>
              <w:t>Utilities and telecom</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Financial services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16"/>
        </w:trPr>
        <w:tc>
          <w:tcPr>
            <w:tcW w:w="5880" w:type="dxa"/>
            <w:vAlign w:val="bottom"/>
            <w:gridSpan w:val="2"/>
          </w:tcPr>
          <w:p>
            <w:pPr>
              <w:ind w:left="340"/>
              <w:spacing w:after="0"/>
              <w:rPr>
                <w:sz w:val="20"/>
                <w:szCs w:val="20"/>
                <w:color w:val="auto"/>
              </w:rPr>
            </w:pPr>
            <w:r>
              <w:rPr>
                <w:rFonts w:ascii="Arial" w:cs="Arial" w:eastAsia="Arial" w:hAnsi="Arial"/>
                <w:sz w:val="18"/>
                <w:szCs w:val="18"/>
                <w:color w:val="auto"/>
              </w:rPr>
              <w:t>Other business – diversified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0"/>
        </w:trPr>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consumer – diversified</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14,477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8,863</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bottom w:val="single" w:sz="8" w:color="CCEEFF"/>
            </w:tcBorders>
            <w:gridSpan w:val="2"/>
          </w:tcPr>
          <w:p>
            <w:pPr>
              <w:ind w:left="660"/>
              <w:spacing w:after="0" w:line="203" w:lineRule="exact"/>
              <w:rPr>
                <w:sz w:val="20"/>
                <w:szCs w:val="20"/>
                <w:color w:val="auto"/>
              </w:rPr>
            </w:pPr>
            <w:r>
              <w:rPr>
                <w:rFonts w:ascii="Arial" w:cs="Arial" w:eastAsia="Arial" w:hAnsi="Arial"/>
                <w:sz w:val="18"/>
                <w:szCs w:val="18"/>
                <w:color w:val="auto"/>
              </w:rPr>
              <w:t>Total equity securities</w:t>
            </w: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21,890</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10,018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560</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12,432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Policy loans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5880" w:type="dxa"/>
            <w:vAlign w:val="bottom"/>
            <w:gridSpan w:val="2"/>
          </w:tcPr>
          <w:p>
            <w:pPr>
              <w:spacing w:after="0"/>
              <w:rPr>
                <w:sz w:val="20"/>
                <w:szCs w:val="20"/>
                <w:color w:val="auto"/>
              </w:rPr>
            </w:pPr>
            <w:r>
              <w:rPr>
                <w:rFonts w:ascii="Arial" w:cs="Arial" w:eastAsia="Arial" w:hAnsi="Arial"/>
                <w:sz w:val="18"/>
                <w:szCs w:val="18"/>
                <w:color w:val="auto"/>
              </w:rPr>
              <w:t>Investments in unconsolidated trusts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55"/>
        </w:trPr>
        <w:tc>
          <w:tcPr>
            <w:tcW w:w="588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investments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value and amortized cost of the Company’s investments in fixed maturities at September 30, 2014 by contractual maturity were as follows.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Actual maturities may differ from contractual maturities because issuers may call or prepay obligations with or without call or prepayment penalties.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Due in one year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Due after one year through five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after five years through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7975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Due after ten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Varying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September 30, 2014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Carrying</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8"/>
              </w:rPr>
              <w:t>Amortized</w:t>
            </w: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Cost</w:t>
            </w:r>
          </w:p>
        </w:tc>
      </w:tr>
      <w:tr>
        <w:trPr>
          <w:trHeight w:val="202"/>
        </w:trPr>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1,000</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1,001</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15,053</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14,407</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116,074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113,310</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63,936</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60,885</w:t>
            </w: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17,037</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16,581</w:t>
            </w:r>
          </w:p>
        </w:tc>
      </w:tr>
      <w:tr>
        <w:trPr>
          <w:trHeight w:val="230"/>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213,100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206,184</w:t>
            </w:r>
          </w:p>
        </w:tc>
      </w:tr>
      <w:tr>
        <w:trPr>
          <w:trHeight w:val="21"/>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720"/>
            <w:col w:w="4880"/>
          </w:cols>
          <w:pgMar w:left="240" w:top="114" w:right="239" w:bottom="1440" w:gutter="0" w:footer="0" w:header="0"/>
          <w:type w:val="continuous"/>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sets forth the carrying value, amortized cost, and net unrealized gains (losses) of the Company’s investments aggregated by industry as of September 30, 2014 and December 31,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8"/>
              </w:rPr>
              <w:t>September 30, 2014</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December 31, 2013</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4"/>
              </w:rPr>
              <w:t>Carrying</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3"/>
              </w:rPr>
              <w:t>Amortized</w:t>
            </w:r>
          </w:p>
        </w:tc>
        <w:tc>
          <w:tcPr>
            <w:tcW w:w="14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6"/>
              </w:rPr>
              <w:t>Amortized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gridSpan w:val="2"/>
          </w:tcPr>
          <w:p>
            <w:pPr>
              <w:spacing w:after="0"/>
              <w:rPr>
                <w:sz w:val="17"/>
                <w:szCs w:val="17"/>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Value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Cost</w:t>
            </w:r>
          </w:p>
        </w:tc>
        <w:tc>
          <w:tcPr>
            <w:tcW w:w="14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Cost</w:t>
            </w:r>
          </w:p>
        </w:tc>
        <w:tc>
          <w:tcPr>
            <w:tcW w:w="20" w:type="dxa"/>
            <w:vAlign w:val="bottom"/>
          </w:tcPr>
          <w:p>
            <w:pPr>
              <w:spacing w:after="0"/>
              <w:rPr>
                <w:sz w:val="20"/>
                <w:szCs w:val="20"/>
                <w:color w:val="auto"/>
              </w:rPr>
            </w:pPr>
          </w:p>
        </w:tc>
        <w:tc>
          <w:tcPr>
            <w:tcW w:w="1220" w:type="dxa"/>
            <w:vAlign w:val="bottom"/>
            <w:gridSpan w:val="4"/>
          </w:tcPr>
          <w:p>
            <w:pPr>
              <w:jc w:val="right"/>
              <w:ind w:right="140"/>
              <w:spacing w:after="0"/>
              <w:rPr>
                <w:sz w:val="20"/>
                <w:szCs w:val="20"/>
                <w:color w:val="auto"/>
              </w:rPr>
            </w:pPr>
            <w:r>
              <w:rPr>
                <w:rFonts w:ascii="Arial" w:cs="Arial" w:eastAsia="Arial" w:hAnsi="Arial"/>
                <w:sz w:val="18"/>
                <w:szCs w:val="18"/>
                <w:color w:val="auto"/>
                <w:w w:val="87"/>
              </w:rPr>
              <w:t>Gains (Losses)</w:t>
            </w:r>
          </w:p>
        </w:tc>
      </w:tr>
      <w:tr>
        <w:trPr>
          <w:trHeight w:val="188"/>
        </w:trPr>
        <w:tc>
          <w:tcPr>
            <w:tcW w:w="33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8"/>
              </w:rPr>
              <w:t>U.S. Treasury securities and obligations of</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U.S. Government agencies and authorities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20"/>
                <w:szCs w:val="20"/>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subdivisions</w:t>
            </w:r>
          </w:p>
        </w:tc>
        <w:tc>
          <w:tcPr>
            <w:tcW w:w="1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5,203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4,615</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7,611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0"/>
                <w:szCs w:val="20"/>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Utilities and telecom</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12,587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Financial services</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62,909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59,470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58,451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57,118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1,333</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business – diversified</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73,185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Other consumer – diversified</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37,146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35,406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51,381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43,872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7,509</w:t>
            </w:r>
          </w:p>
        </w:tc>
        <w:tc>
          <w:tcPr>
            <w:tcW w:w="80" w:type="dxa"/>
            <w:vAlign w:val="bottom"/>
          </w:tcPr>
          <w:p>
            <w:pPr>
              <w:spacing w:after="0"/>
              <w:rPr>
                <w:sz w:val="18"/>
                <w:szCs w:val="18"/>
                <w:color w:val="auto"/>
              </w:rPr>
            </w:pPr>
          </w:p>
        </w:tc>
      </w:tr>
      <w:tr>
        <w:trPr>
          <w:trHeight w:val="25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6,546</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33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Investments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235,429</w:t>
            </w: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224,699</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10,730</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228,961</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219,417</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tables present the Company’s unrealized loss aging for securities by type and length of time the security was in a continuous unrealized loss position as of September 30, 2014 and December 31,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ind w:left="340"/>
              <w:spacing w:after="0"/>
              <w:rPr>
                <w:sz w:val="20"/>
                <w:szCs w:val="20"/>
                <w:color w:val="auto"/>
              </w:rPr>
            </w:pPr>
            <w:r>
              <w:rPr>
                <w:rFonts w:ascii="Arial" w:cs="Arial" w:eastAsia="Arial" w:hAnsi="Arial"/>
                <w:sz w:val="18"/>
                <w:szCs w:val="18"/>
                <w:color w:val="auto"/>
              </w:rPr>
              <w:t>September 30, 2014</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6"/>
          </w:tcPr>
          <w:p>
            <w:pPr>
              <w:ind w:left="320"/>
              <w:spacing w:after="0"/>
              <w:rPr>
                <w:sz w:val="20"/>
                <w:szCs w:val="20"/>
                <w:color w:val="auto"/>
              </w:rPr>
            </w:pPr>
            <w:r>
              <w:rPr>
                <w:rFonts w:ascii="Arial" w:cs="Arial" w:eastAsia="Arial" w:hAnsi="Arial"/>
                <w:sz w:val="18"/>
                <w:szCs w:val="18"/>
                <w:color w:val="auto"/>
              </w:rPr>
              <w:t>Less than 12 months</w:t>
            </w:r>
          </w:p>
        </w:tc>
        <w:tc>
          <w:tcPr>
            <w:tcW w:w="140" w:type="dxa"/>
            <w:vAlign w:val="bottom"/>
          </w:tcPr>
          <w:p>
            <w:pPr>
              <w:spacing w:after="0"/>
              <w:rPr>
                <w:sz w:val="20"/>
                <w:szCs w:val="20"/>
                <w:color w:val="auto"/>
              </w:rPr>
            </w:pPr>
          </w:p>
        </w:tc>
        <w:tc>
          <w:tcPr>
            <w:tcW w:w="2560" w:type="dxa"/>
            <w:vAlign w:val="bottom"/>
            <w:gridSpan w:val="6"/>
          </w:tcPr>
          <w:p>
            <w:pPr>
              <w:ind w:left="380"/>
              <w:spacing w:after="0"/>
              <w:rPr>
                <w:sz w:val="20"/>
                <w:szCs w:val="20"/>
                <w:color w:val="auto"/>
              </w:rPr>
            </w:pPr>
            <w:r>
              <w:rPr>
                <w:rFonts w:ascii="Arial" w:cs="Arial" w:eastAsia="Arial" w:hAnsi="Arial"/>
                <w:sz w:val="18"/>
                <w:szCs w:val="18"/>
                <w:color w:val="auto"/>
              </w:rPr>
              <w:t>12 months or longer</w:t>
            </w:r>
          </w:p>
        </w:tc>
        <w:tc>
          <w:tcPr>
            <w:tcW w:w="240" w:type="dxa"/>
            <w:vAlign w:val="bottom"/>
          </w:tcPr>
          <w:p>
            <w:pPr>
              <w:spacing w:after="0"/>
              <w:rPr>
                <w:sz w:val="20"/>
                <w:szCs w:val="20"/>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360"/>
              <w:spacing w:after="0" w:line="201"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3"/>
              <w:spacing w:after="0" w:line="201"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r>
      <w:tr>
        <w:trPr>
          <w:trHeight w:val="237"/>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Losses</w:t>
            </w:r>
          </w:p>
        </w:tc>
      </w:tr>
      <w:tr>
        <w:trPr>
          <w:trHeight w:val="188"/>
        </w:trPr>
        <w:tc>
          <w:tcPr>
            <w:tcW w:w="33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8"/>
              </w:rPr>
              <w:t>U.S. Treasury securities and obligations of</w:t>
            </w: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U.S. Government agencies and authorities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Corporate securities</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44,814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765</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1,474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63,332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2,239</w:t>
            </w:r>
          </w:p>
        </w:tc>
      </w:tr>
      <w:tr>
        <w:trPr>
          <w:trHeight w:val="255"/>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570"/>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06"/>
        </w:trPr>
        <w:tc>
          <w:tcPr>
            <w:tcW w:w="102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color w:val="auto"/>
              </w:rPr>
              <w:t>December 31, 2013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6"/>
          </w:tcPr>
          <w:p>
            <w:pPr>
              <w:ind w:left="320"/>
              <w:spacing w:after="0"/>
              <w:rPr>
                <w:sz w:val="20"/>
                <w:szCs w:val="20"/>
                <w:color w:val="auto"/>
              </w:rPr>
            </w:pPr>
            <w:r>
              <w:rPr>
                <w:rFonts w:ascii="Arial" w:cs="Arial" w:eastAsia="Arial" w:hAnsi="Arial"/>
                <w:sz w:val="18"/>
                <w:szCs w:val="18"/>
                <w:color w:val="auto"/>
              </w:rPr>
              <w:t>Less than 12 months</w:t>
            </w:r>
          </w:p>
        </w:tc>
        <w:tc>
          <w:tcPr>
            <w:tcW w:w="140" w:type="dxa"/>
            <w:vAlign w:val="bottom"/>
          </w:tcPr>
          <w:p>
            <w:pPr>
              <w:spacing w:after="0"/>
              <w:rPr>
                <w:sz w:val="20"/>
                <w:szCs w:val="20"/>
                <w:color w:val="auto"/>
              </w:rPr>
            </w:pPr>
          </w:p>
        </w:tc>
        <w:tc>
          <w:tcPr>
            <w:tcW w:w="2560" w:type="dxa"/>
            <w:vAlign w:val="bottom"/>
            <w:gridSpan w:val="6"/>
          </w:tcPr>
          <w:p>
            <w:pPr>
              <w:ind w:left="380"/>
              <w:spacing w:after="0"/>
              <w:rPr>
                <w:sz w:val="20"/>
                <w:szCs w:val="20"/>
                <w:color w:val="auto"/>
              </w:rPr>
            </w:pPr>
            <w:r>
              <w:rPr>
                <w:rFonts w:ascii="Arial" w:cs="Arial" w:eastAsia="Arial" w:hAnsi="Arial"/>
                <w:sz w:val="18"/>
                <w:szCs w:val="18"/>
                <w:color w:val="auto"/>
              </w:rPr>
              <w:t>12 months or longer</w:t>
            </w:r>
          </w:p>
        </w:tc>
        <w:tc>
          <w:tcPr>
            <w:tcW w:w="240" w:type="dxa"/>
            <w:vAlign w:val="bottom"/>
          </w:tcPr>
          <w:p>
            <w:pPr>
              <w:spacing w:after="0"/>
              <w:rPr>
                <w:sz w:val="20"/>
                <w:szCs w:val="20"/>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360"/>
              <w:spacing w:after="0" w:line="201"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640"/>
              <w:spacing w:after="0" w:line="201" w:lineRule="exact"/>
              <w:rPr>
                <w:sz w:val="20"/>
                <w:szCs w:val="20"/>
                <w:color w:val="auto"/>
              </w:rPr>
            </w:pPr>
            <w:r>
              <w:rPr>
                <w:rFonts w:ascii="Arial" w:cs="Arial" w:eastAsia="Arial" w:hAnsi="Arial"/>
                <w:sz w:val="18"/>
                <w:szCs w:val="18"/>
                <w:color w:val="auto"/>
              </w:rPr>
              <w:t>Fair</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gridSpan w:val="2"/>
          </w:tcPr>
          <w:p>
            <w:pPr>
              <w:spacing w:after="0"/>
              <w:rPr>
                <w:sz w:val="17"/>
                <w:szCs w:val="17"/>
                <w:color w:val="auto"/>
              </w:rPr>
            </w:pPr>
          </w:p>
        </w:tc>
      </w:tr>
      <w:tr>
        <w:trPr>
          <w:trHeight w:val="237"/>
        </w:trPr>
        <w:tc>
          <w:tcPr>
            <w:tcW w:w="10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24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Value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84"/>
              </w:rPr>
              <w:t>Losses</w:t>
            </w:r>
          </w:p>
        </w:tc>
      </w:tr>
      <w:tr>
        <w:trPr>
          <w:trHeight w:val="188"/>
        </w:trPr>
        <w:tc>
          <w:tcPr>
            <w:tcW w:w="3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8"/>
              </w:rPr>
              <w:t>U.S. Treasury securities and obligations of</w:t>
            </w: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3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U.S. Government agencies and authorities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20"/>
                <w:szCs w:val="20"/>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340" w:type="dxa"/>
            <w:vAlign w:val="bottom"/>
            <w:gridSpan w:val="2"/>
          </w:tcPr>
          <w:p>
            <w:pPr>
              <w:ind w:left="140"/>
              <w:spacing w:after="0"/>
              <w:rPr>
                <w:sz w:val="20"/>
                <w:szCs w:val="20"/>
                <w:color w:val="auto"/>
              </w:rPr>
            </w:pPr>
            <w:r>
              <w:rPr>
                <w:rFonts w:ascii="Arial" w:cs="Arial" w:eastAsia="Arial" w:hAnsi="Arial"/>
                <w:sz w:val="18"/>
                <w:szCs w:val="18"/>
                <w:color w:val="auto"/>
              </w:rPr>
              <w:t>subdivisions</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4,978</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Redeemable preferred stocks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and non-redeemable preferred</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3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stocks</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22"/>
                <w:szCs w:val="22"/>
                <w:color w:val="auto"/>
              </w:rPr>
            </w:pPr>
          </w:p>
        </w:tc>
      </w:tr>
      <w:tr>
        <w:trPr>
          <w:trHeight w:val="217"/>
        </w:trPr>
        <w:tc>
          <w:tcPr>
            <w:tcW w:w="33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105,821</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112,759</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evaluation for an other than temporary impairment is a quantitative and qualitative process, which is subject to risks and uncertainties in the determination of whether declines in the fair value of investments are other than temporary. Potential risks and uncertainties include, among other things, changes in general economic conditions, an issuer’s financial condition or near term recovery prospects and the effects of changes in interest rates. In evaluating a potential impairment, the Company considers, among other factors, management’s intent and ability to hold the securities until price recovery, the nature of the investment and the expectation of prospects for the issuer and its industry, the status of an issuer’s continued satisfaction of its obligations in accordance with their contractual terms, and management’s expectation as to the issuer’s ability and intent to continue to do so, as well as ratings actions that may affect the issuer’s credit status.</w:t>
      </w:r>
    </w:p>
    <w:p>
      <w:pPr>
        <w:spacing w:after="0" w:line="21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is a summary of investment impairments the Company recorded due to other than temporary declines in values for the three month and nine month periods ended September 30, 2014 and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260" w:type="dxa"/>
            <w:vAlign w:val="bottom"/>
            <w:gridSpan w:val="4"/>
          </w:tcPr>
          <w:p>
            <w:pPr>
              <w:jc w:val="center"/>
              <w:ind w:left="13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color w:val="auto"/>
                <w:w w:val="92"/>
              </w:rPr>
              <w:t>Nine Months Ended</w:t>
            </w:r>
          </w:p>
        </w:tc>
      </w:tr>
      <w:tr>
        <w:trPr>
          <w:trHeight w:val="237"/>
        </w:trPr>
        <w:tc>
          <w:tcPr>
            <w:tcW w:w="3780" w:type="dxa"/>
            <w:vAlign w:val="bottom"/>
          </w:tcPr>
          <w:p>
            <w:pPr>
              <w:spacing w:after="0"/>
              <w:rPr>
                <w:sz w:val="20"/>
                <w:szCs w:val="20"/>
                <w:color w:val="auto"/>
              </w:rPr>
            </w:pPr>
          </w:p>
        </w:tc>
        <w:tc>
          <w:tcPr>
            <w:tcW w:w="2260" w:type="dxa"/>
            <w:vAlign w:val="bottom"/>
            <w:gridSpan w:val="4"/>
          </w:tcPr>
          <w:p>
            <w:pPr>
              <w:jc w:val="center"/>
              <w:ind w:left="13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r>
      <w:tr>
        <w:trPr>
          <w:trHeight w:val="237"/>
        </w:trPr>
        <w:tc>
          <w:tcPr>
            <w:tcW w:w="378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105"/>
              <w:spacing w:after="0"/>
              <w:rPr>
                <w:sz w:val="20"/>
                <w:szCs w:val="20"/>
                <w:color w:val="auto"/>
              </w:rPr>
            </w:pPr>
            <w:r>
              <w:rPr>
                <w:rFonts w:ascii="Arial" w:cs="Arial" w:eastAsia="Arial" w:hAnsi="Arial"/>
                <w:sz w:val="18"/>
                <w:szCs w:val="18"/>
                <w:color w:val="auto"/>
              </w:rPr>
              <w:t>2013</w:t>
            </w:r>
          </w:p>
        </w:tc>
        <w:tc>
          <w:tcPr>
            <w:tcW w:w="2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r>
      <w:tr>
        <w:trPr>
          <w:trHeight w:val="255"/>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Common and non-redeemable preferred stocks</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During the three month and nine month periods ended September 30, 2014, the Company recorded a $196 realized loss due to other than temporary impairments in certain of its investments in non-redeemable preferred stocks. There were no impairments recorded during the three month and nine month periods ended September 30, 2013.</w:t>
      </w:r>
    </w:p>
    <w:p>
      <w:pPr>
        <w:spacing w:after="0" w:line="20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As of September 30, 2014, securities in an unrealized loss position primarily included certain of the Company’s investments in fixed maturities within the other diversified business, other diversified consumer and financial services sectors. The Company does not currently intend to sell nor does it expect to be required to sell any of the securities in an unrealized loss position. Based upon the Company’s expected continuation of receipt of contractually required principal and interest payments and its intent and ability to retain the securities until price recovery, as well as the Company’s evaluation of other relevant factors, including those described above, the Company has deemed these securities to be temporarily impaired as of September 30, 2014.</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following describes the fair value hierarchy and provides information as to the extent to which the Company uses fair value to measure the value of its financial instruments and information about the inputs used to value those financial instruments. The fair value hierarchy prioritizes the inputs in the valuation techniques used to measure fair value into three broad levels.</w:t>
      </w:r>
    </w:p>
    <w:p>
      <w:pPr>
        <w:spacing w:after="0" w:line="208" w:lineRule="exact"/>
        <w:rPr>
          <w:sz w:val="20"/>
          <w:szCs w:val="20"/>
          <w:color w:val="auto"/>
        </w:rPr>
      </w:pPr>
    </w:p>
    <w:p>
      <w:pPr>
        <w:jc w:val="both"/>
        <w:ind w:left="980" w:right="220" w:hanging="971"/>
        <w:spacing w:after="0" w:line="264" w:lineRule="auto"/>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that reflect quoted prices for identical assets or liabilities in active markets that the Company has the ability to access at the measurement date. The Company’s financial instruments valued using Level 1 criteria include cash equivalents and exchange traded common stocks.</w:t>
      </w:r>
    </w:p>
    <w:p>
      <w:pPr>
        <w:spacing w:after="0" w:line="208" w:lineRule="exact"/>
        <w:rPr>
          <w:sz w:val="20"/>
          <w:szCs w:val="20"/>
          <w:color w:val="auto"/>
        </w:rPr>
      </w:pPr>
    </w:p>
    <w:p>
      <w:pPr>
        <w:ind w:left="980" w:right="40" w:hanging="971"/>
        <w:spacing w:after="0" w:line="302" w:lineRule="auto"/>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Observable inputs, other than quoted prices included in Level 1, for an asset or liability or prices for similar assets or liabilities. The Company’s financial instruments valued using Level 2 criteria include substantially all of its fixed maturities, which consist of U.S. Treasury securities and U.S. Government securities, obligations of states and political subdivisions, and certain corporate fixed maturities, as well as its non-redeemable preferred stocks. In determining fair value measurements using Level 2 criteria, the Company utilizes various external pricing sources.</w:t>
      </w:r>
    </w:p>
    <w:p>
      <w:pPr>
        <w:spacing w:after="0" w:line="181" w:lineRule="exact"/>
        <w:rPr>
          <w:sz w:val="20"/>
          <w:szCs w:val="20"/>
          <w:color w:val="auto"/>
        </w:rPr>
      </w:pPr>
    </w:p>
    <w:p>
      <w:pPr>
        <w:ind w:left="980" w:hanging="971"/>
        <w:spacing w:after="0" w:line="276" w:lineRule="auto"/>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Valuations that are derived from techniques in which one or more of the significant inputs are unobservable (including assumptions about risk). Fair value is based on criteria that use assumptions or other data that are not readily observable from objective sources. The Company’s financial instruments valued using Level 3 criteria consist of a limited number of fixed maturities. As of September 30, 2014 and December 31, 2013, the value of the Company’s fixed maturities valued using Level 3 criteria was $2,155 and $1,991, respectively. The use of different criteria or assumptions regarding data may have yielded materially different valuations.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2014, financial instruments carried at fair value were measured on a recurring basis as summarized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Markets</w:t>
            </w: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Significant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for Identical</w:t>
            </w: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Observable</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Unobservable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Assets</w:t>
            </w: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Inputs</w:t>
            </w: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Inputs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8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1)</w:t>
            </w: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2)</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(Level 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62"/>
        </w:trPr>
        <w:tc>
          <w:tcPr>
            <w:tcW w:w="3080" w:type="dxa"/>
            <w:vAlign w:val="bottom"/>
            <w:gridSpan w:val="3"/>
            <w:vMerge w:val="continue"/>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210,945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2,155</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10,140</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5,643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15,783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13,712</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23,852</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216,588</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242,595</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2013, financial instruments carried at fair value were measured on a recurring basis as summarized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Markets</w:t>
            </w: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for Identical</w:t>
            </w: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Assets</w:t>
            </w: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Inputs</w:t>
            </w: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8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1)</w:t>
            </w: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2)</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080" w:type="dxa"/>
            <w:vAlign w:val="bottom"/>
            <w:gridSpan w:val="3"/>
            <w:vMerge w:val="continue"/>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199,312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201,303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16,406</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5,484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21,890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31,618</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31,618</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48,024</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204,796</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254,811</w:t>
            </w:r>
          </w:p>
        </w:tc>
        <w:tc>
          <w:tcPr>
            <w:tcW w:w="12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152"/>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is a roll-forward of the Company’s financial instruments measured at fair value on a recurring basis using significant unobservable inputs (Level 3) for the three month and nine month periods ended September 30,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Fixed</w:t>
            </w:r>
          </w:p>
        </w:tc>
      </w:tr>
      <w:tr>
        <w:trPr>
          <w:trHeight w:val="237"/>
        </w:trPr>
        <w:tc>
          <w:tcPr>
            <w:tcW w:w="7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Maturities</w:t>
            </w:r>
          </w:p>
        </w:tc>
      </w:tr>
      <w:tr>
        <w:trPr>
          <w:trHeight w:val="216"/>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Borders>
              <w:top w:val="single" w:sz="8" w:color="CCEEFF"/>
            </w:tcBorders>
            <w:shd w:val="clear" w:color="auto" w:fill="CCEEFF"/>
          </w:tcPr>
          <w:p>
            <w:pPr>
              <w:spacing w:after="0"/>
              <w:rPr>
                <w:sz w:val="18"/>
                <w:szCs w:val="18"/>
                <w:color w:val="auto"/>
              </w:rPr>
            </w:pPr>
          </w:p>
        </w:tc>
      </w:tr>
      <w:tr>
        <w:trPr>
          <w:trHeight w:val="237"/>
        </w:trPr>
        <w:tc>
          <w:tcPr>
            <w:tcW w:w="7880" w:type="dxa"/>
            <w:vAlign w:val="bottom"/>
          </w:tcPr>
          <w:p>
            <w:pPr>
              <w:spacing w:after="0"/>
              <w:rPr>
                <w:sz w:val="20"/>
                <w:szCs w:val="20"/>
                <w:color w:val="auto"/>
              </w:rPr>
            </w:pPr>
            <w:r>
              <w:rPr>
                <w:rFonts w:ascii="Arial" w:cs="Arial" w:eastAsia="Arial" w:hAnsi="Arial"/>
                <w:sz w:val="18"/>
                <w:szCs w:val="18"/>
                <w:color w:val="auto"/>
              </w:rPr>
              <w:t>Total unrealized gains included in other comprehensive income</w:t>
            </w: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r>
      <w:tr>
        <w:trPr>
          <w:trHeight w:val="216"/>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2014</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Borders>
              <w:top w:val="single" w:sz="8" w:color="CCEEFF"/>
            </w:tcBorders>
            <w:shd w:val="clear" w:color="auto" w:fill="CCEEFF"/>
          </w:tcPr>
          <w:p>
            <w:pPr>
              <w:spacing w:after="0"/>
              <w:rPr>
                <w:sz w:val="18"/>
                <w:szCs w:val="18"/>
                <w:color w:val="auto"/>
              </w:rPr>
            </w:pPr>
          </w:p>
        </w:tc>
      </w:tr>
      <w:tr>
        <w:trPr>
          <w:trHeight w:val="237"/>
        </w:trPr>
        <w:tc>
          <w:tcPr>
            <w:tcW w:w="7880" w:type="dxa"/>
            <w:vAlign w:val="bottom"/>
          </w:tcPr>
          <w:p>
            <w:pPr>
              <w:spacing w:after="0"/>
              <w:rPr>
                <w:sz w:val="20"/>
                <w:szCs w:val="20"/>
                <w:color w:val="auto"/>
              </w:rPr>
            </w:pPr>
            <w:r>
              <w:rPr>
                <w:rFonts w:ascii="Arial" w:cs="Arial" w:eastAsia="Arial" w:hAnsi="Arial"/>
                <w:sz w:val="18"/>
                <w:szCs w:val="18"/>
                <w:color w:val="auto"/>
              </w:rPr>
              <w:t>Total unrealized gains included in other comprehensive income</w:t>
            </w: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r>
      <w:tr>
        <w:trPr>
          <w:trHeight w:val="216"/>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Borders>
              <w:top w:val="single" w:sz="8" w:color="CCEEFF"/>
            </w:tcBorders>
            <w:shd w:val="clear" w:color="auto" w:fill="CCEEFF"/>
          </w:tcPr>
          <w:p>
            <w:pPr>
              <w:spacing w:after="0"/>
              <w:rPr>
                <w:sz w:val="18"/>
                <w:szCs w:val="18"/>
                <w:color w:val="auto"/>
              </w:rPr>
            </w:pPr>
          </w:p>
        </w:tc>
      </w:tr>
      <w:tr>
        <w:trPr>
          <w:trHeight w:val="237"/>
        </w:trPr>
        <w:tc>
          <w:tcPr>
            <w:tcW w:w="7880" w:type="dxa"/>
            <w:vAlign w:val="bottom"/>
          </w:tcPr>
          <w:p>
            <w:pPr>
              <w:spacing w:after="0"/>
              <w:rPr>
                <w:sz w:val="20"/>
                <w:szCs w:val="20"/>
                <w:color w:val="auto"/>
              </w:rPr>
            </w:pPr>
            <w:r>
              <w:rPr>
                <w:rFonts w:ascii="Arial" w:cs="Arial" w:eastAsia="Arial" w:hAnsi="Arial"/>
                <w:sz w:val="18"/>
                <w:szCs w:val="18"/>
                <w:color w:val="auto"/>
              </w:rPr>
              <w:t>Total unrealized gains included in other comprehensive income</w:t>
            </w: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r>
      <w:tr>
        <w:trPr>
          <w:trHeight w:val="255"/>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Company’s fixed maturities valued using Level 3 inputs consist solely of issuances of pooled debt obligations of multiple, smaller financial services companies. They are not actively traded and valuation techniques used to measure fair value are based on future estimated cash flows (based on current cash flows) discounted at reasonable estimated rates of interest. There are no assumed prepayments and/or default probability assumptions as a majority of these instruments contain certain U.S. government agency strips to support repayment of the principal. Other qualitative and quantitative information received from the original underwriter of the pooled offerings is also considered, as applicable.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w:t>
      </w:r>
      <w:r>
        <w:rPr>
          <w:rFonts w:ascii="Arial" w:cs="Arial" w:eastAsia="Arial" w:hAnsi="Arial"/>
          <w:sz w:val="18"/>
          <w:szCs w:val="18"/>
          <w:b w:val="1"/>
          <w:bCs w:val="1"/>
          <w:color w:val="auto"/>
        </w:rPr>
        <w:t xml:space="preserve"> </w:t>
      </w:r>
      <w:r>
        <w:rPr>
          <w:rFonts w:ascii="Arial" w:cs="Arial" w:eastAsia="Arial" w:hAnsi="Arial"/>
          <w:sz w:val="18"/>
          <w:szCs w:val="18"/>
          <w:color w:val="auto"/>
        </w:rPr>
        <w:t>Fair Values of Financial Instruments</w:t>
      </w:r>
    </w:p>
    <w:p>
      <w:pPr>
        <w:spacing w:after="0" w:line="25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estimated fair values have been determined by the Company using available market information from various market sources and appropriate valuation methodologies as of the respective dates. However, considerable judgment is necessary to interpret market data and to develop the estimates of fair value. Although management is not aware of any factors that would significantly affect the estimated fair value amounts, the estimates presented herein are not necessarily indicative of the amounts which the Company could realize in a current market exchange. The use of different market assumptions and/or estimation methodologies may have a material effect on the estimated fair value amounts.</w:t>
      </w:r>
    </w:p>
    <w:p>
      <w:pPr>
        <w:spacing w:after="0" w:line="20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sets forth the carrying amount, estimated fair value and level within the fair value hierarchy of the Company’s financial instruments as of September 30, 2014 and December 31,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gridSpan w:val="6"/>
          </w:tcPr>
          <w:p>
            <w:pPr>
              <w:ind w:left="360"/>
              <w:spacing w:after="0"/>
              <w:rPr>
                <w:sz w:val="20"/>
                <w:szCs w:val="20"/>
                <w:color w:val="auto"/>
              </w:rPr>
            </w:pPr>
            <w:r>
              <w:rPr>
                <w:rFonts w:ascii="Arial" w:cs="Arial" w:eastAsia="Arial" w:hAnsi="Arial"/>
                <w:sz w:val="18"/>
                <w:szCs w:val="18"/>
                <w:color w:val="auto"/>
              </w:rPr>
              <w:t>September 30, 2014</w:t>
            </w:r>
          </w:p>
        </w:tc>
        <w:tc>
          <w:tcPr>
            <w:tcW w:w="180" w:type="dxa"/>
            <w:vAlign w:val="bottom"/>
          </w:tcPr>
          <w:p>
            <w:pPr>
              <w:spacing w:after="0"/>
              <w:rPr>
                <w:sz w:val="21"/>
                <w:szCs w:val="21"/>
                <w:color w:val="auto"/>
              </w:rPr>
            </w:pPr>
          </w:p>
        </w:tc>
        <w:tc>
          <w:tcPr>
            <w:tcW w:w="2420" w:type="dxa"/>
            <w:vAlign w:val="bottom"/>
            <w:gridSpan w:val="6"/>
          </w:tcPr>
          <w:p>
            <w:pPr>
              <w:ind w:left="360"/>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0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5"/>
              </w:rPr>
              <w:t>Level in Fair</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7"/>
                <w:szCs w:val="17"/>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Estimated Fair</w:t>
            </w: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Estimated Fair</w:t>
            </w:r>
          </w:p>
        </w:tc>
        <w:tc>
          <w:tcPr>
            <w:tcW w:w="0" w:type="dxa"/>
            <w:vAlign w:val="bottom"/>
          </w:tcPr>
          <w:p>
            <w:pPr>
              <w:spacing w:after="0"/>
              <w:rPr>
                <w:sz w:val="1"/>
                <w:szCs w:val="1"/>
                <w:color w:val="auto"/>
              </w:rPr>
            </w:pPr>
          </w:p>
        </w:tc>
      </w:tr>
      <w:tr>
        <w:trPr>
          <w:trHeight w:val="247"/>
        </w:trPr>
        <w:tc>
          <w:tcPr>
            <w:tcW w:w="4700" w:type="dxa"/>
            <w:vAlign w:val="bottom"/>
            <w:gridSpan w:val="4"/>
            <w:vMerge w:val="restart"/>
          </w:tcPr>
          <w:p>
            <w:pPr>
              <w:spacing w:after="0"/>
              <w:rPr>
                <w:sz w:val="20"/>
                <w:szCs w:val="20"/>
                <w:color w:val="auto"/>
              </w:rPr>
            </w:pPr>
            <w:r>
              <w:rPr>
                <w:rFonts w:ascii="Arial" w:cs="Arial" w:eastAsia="Arial" w:hAnsi="Arial"/>
                <w:sz w:val="18"/>
                <w:szCs w:val="18"/>
                <w:color w:val="auto"/>
              </w:rPr>
              <w:t>Assets:</w:t>
            </w:r>
          </w:p>
        </w:tc>
        <w:tc>
          <w:tcPr>
            <w:tcW w:w="1300" w:type="dxa"/>
            <w:vAlign w:val="bottom"/>
            <w:gridSpan w:val="2"/>
          </w:tcPr>
          <w:p>
            <w:pPr>
              <w:jc w:val="center"/>
              <w:ind w:right="120"/>
              <w:spacing w:after="0" w:line="240" w:lineRule="exact"/>
              <w:rPr>
                <w:sz w:val="20"/>
                <w:szCs w:val="20"/>
                <w:color w:val="auto"/>
              </w:rPr>
            </w:pPr>
            <w:r>
              <w:rPr>
                <w:rFonts w:ascii="Arial" w:cs="Arial" w:eastAsia="Arial" w:hAnsi="Arial"/>
                <w:sz w:val="17"/>
                <w:szCs w:val="17"/>
                <w:color w:val="auto"/>
                <w:w w:val="94"/>
              </w:rPr>
              <w:t xml:space="preserve">Hierarchy </w:t>
            </w:r>
            <w:r>
              <w:rPr>
                <w:rFonts w:ascii="Arial" w:cs="Arial" w:eastAsia="Arial" w:hAnsi="Arial"/>
                <w:sz w:val="27"/>
                <w:szCs w:val="27"/>
                <w:color w:val="auto"/>
                <w:w w:val="94"/>
                <w:vertAlign w:val="superscript"/>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Value</w:t>
            </w:r>
          </w:p>
        </w:tc>
        <w:tc>
          <w:tcPr>
            <w:tcW w:w="18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62"/>
        </w:trPr>
        <w:tc>
          <w:tcPr>
            <w:tcW w:w="4700" w:type="dxa"/>
            <w:vAlign w:val="bottom"/>
            <w:gridSpan w:val="4"/>
            <w:vMerge w:val="continue"/>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Level 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Fixed maturities</w:t>
            </w: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213,100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213,100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201,303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15,783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Other invested assets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3,064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Policy loans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unconsolidated trusts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w:t>
            </w: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Junior subordinated debentures, net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33,738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33,738</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41,238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41,238</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See Note 7 for a description of the fair value hierarchy as well as a disclosure of levels for classes of these financial assets.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w:t>
      </w:r>
      <w:r>
        <w:rPr>
          <w:rFonts w:ascii="Arial" w:cs="Arial" w:eastAsia="Arial" w:hAnsi="Arial"/>
          <w:sz w:val="18"/>
          <w:szCs w:val="18"/>
          <w:b w:val="1"/>
          <w:bCs w:val="1"/>
          <w:color w:val="auto"/>
        </w:rPr>
        <w:t xml:space="preserve"> </w:t>
      </w:r>
      <w:r>
        <w:rPr>
          <w:rFonts w:ascii="Arial" w:cs="Arial" w:eastAsia="Arial" w:hAnsi="Arial"/>
          <w:sz w:val="18"/>
          <w:szCs w:val="18"/>
          <w:color w:val="auto"/>
        </w:rPr>
        <w:t>Accumulated Other Comprehensive Income</w:t>
      </w:r>
    </w:p>
    <w:p>
      <w:pPr>
        <w:spacing w:after="0" w:line="25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following table sets forth the balance of each component of accumulated other comprehensive income as of September 30, 2014 and December 31, 2013, and the changes in the balance of each component thereof during the nine month period ended September 30, 2014, net of taxes.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Unrealized Gains</w:t>
            </w:r>
          </w:p>
        </w:tc>
      </w:tr>
      <w:tr>
        <w:trPr>
          <w:trHeight w:val="216"/>
        </w:trPr>
        <w:tc>
          <w:tcPr>
            <w:tcW w:w="7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on Available-for-</w:t>
            </w:r>
          </w:p>
        </w:tc>
      </w:tr>
      <w:tr>
        <w:trPr>
          <w:trHeight w:val="237"/>
        </w:trPr>
        <w:tc>
          <w:tcPr>
            <w:tcW w:w="7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Sale Securities</w:t>
            </w:r>
          </w:p>
        </w:tc>
      </w:tr>
      <w:tr>
        <w:trPr>
          <w:trHeight w:val="236"/>
        </w:trPr>
        <w:tc>
          <w:tcPr>
            <w:tcW w:w="7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600" w:type="dxa"/>
            <w:vAlign w:val="bottom"/>
          </w:tcPr>
          <w:p>
            <w:pPr>
              <w:spacing w:after="0" w:line="203" w:lineRule="exact"/>
              <w:rPr>
                <w:sz w:val="20"/>
                <w:szCs w:val="20"/>
                <w:color w:val="auto"/>
              </w:rPr>
            </w:pPr>
            <w:r>
              <w:rPr>
                <w:rFonts w:ascii="Arial" w:cs="Arial" w:eastAsia="Arial" w:hAnsi="Arial"/>
                <w:sz w:val="18"/>
                <w:szCs w:val="18"/>
                <w:color w:val="auto"/>
              </w:rPr>
              <w:t>Other comprehensive income before reclassifications</w:t>
            </w:r>
          </w:p>
        </w:tc>
        <w:tc>
          <w:tcPr>
            <w:tcW w:w="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1,708</w:t>
            </w:r>
          </w:p>
        </w:tc>
        <w:tc>
          <w:tcPr>
            <w:tcW w:w="120" w:type="dxa"/>
            <w:vAlign w:val="bottom"/>
          </w:tcPr>
          <w:p>
            <w:pPr>
              <w:spacing w:after="0"/>
              <w:rPr>
                <w:sz w:val="17"/>
                <w:szCs w:val="17"/>
                <w:color w:val="auto"/>
              </w:rPr>
            </w:pPr>
          </w:p>
        </w:tc>
      </w:tr>
      <w:tr>
        <w:trPr>
          <w:trHeight w:val="25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(937)</w:t>
            </w:r>
          </w:p>
        </w:tc>
      </w:tr>
      <w:tr>
        <w:trPr>
          <w:trHeight w:val="210"/>
        </w:trPr>
        <w:tc>
          <w:tcPr>
            <w:tcW w:w="76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current-period other comprehensive income</w:t>
            </w:r>
          </w:p>
        </w:tc>
        <w:tc>
          <w:tcPr>
            <w:tcW w:w="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771</w:t>
            </w:r>
          </w:p>
        </w:tc>
        <w:tc>
          <w:tcPr>
            <w:tcW w:w="120" w:type="dxa"/>
            <w:vAlign w:val="bottom"/>
            <w:tcBorders>
              <w:top w:val="single" w:sz="8" w:color="CCEEFF"/>
              <w:bottom w:val="single" w:sz="8" w:color="CCEEFF"/>
            </w:tcBorders>
          </w:tcPr>
          <w:p>
            <w:pPr>
              <w:spacing w:after="0"/>
              <w:rPr>
                <w:sz w:val="18"/>
                <w:szCs w:val="18"/>
                <w:color w:val="auto"/>
              </w:rPr>
            </w:pPr>
          </w:p>
        </w:tc>
      </w:tr>
      <w:tr>
        <w:trPr>
          <w:trHeight w:val="255"/>
        </w:trPr>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2014</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w:t>
      </w:r>
      <w:r>
        <w:rPr>
          <w:rFonts w:ascii="Arial" w:cs="Arial" w:eastAsia="Arial" w:hAnsi="Arial"/>
          <w:sz w:val="18"/>
          <w:szCs w:val="18"/>
          <w:color w:val="auto"/>
        </w:rPr>
        <w:t>Subsequent Event</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October 28, 2014, the Company’s board of directors declared a special dividend of $0.02 per share that is payable on or about December 5, 2014, to shareholders of record as of the close of business on November 14, 2014.</w:t>
      </w: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22" w:right="41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following is management’s discussion and analysis of the financial condition and results of operations of Atlantic American Corporation (“Atlantic American” or the “Parent”) and its subsidiaries (collectively with the Parent, the “Company”) as of and for the three month and nine month periods ended September 30, 2014. This discussion should be read in conjunction with the unaudited condensed consolidated financial statements and notes thereto included elsewhere herein, as well as with the audited consolidated financial statements and notes included in the Company’s Annual Report on Form 10-K for the year ended December 31, 2013.</w:t>
      </w:r>
    </w:p>
    <w:p>
      <w:pPr>
        <w:spacing w:after="0" w:line="21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Atlantic American is an insurance holding company whose operations are conducted primarily through its insurance subsidiaries: American Southern Insurance Company and American Safety Insurance Company (together known as “American Southern”) and Bankers Fidelity Life Insurance Company and Bankers Fidelity Assurance Company (together known as “Bankers Fidelity”). Each operating company is managed separately, offers different products and is evaluated on its individual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reported amounts and related disclosures. Actual results could differ significantly from those estimates. The Company has identified certain estimates that involve a higher degree of judgment and are subject to a significant degree of variability. The Company’s critical accounting policies and the resultant estimates considered most significant by management are disclosed in the Company’s Annual Report on Form 10-K for the year ended December 31, 2013. During the three month period ended September 30, 2014, there were no changes to the critical accounting policies or related estimates from those disclosed in the Company’s Annual Report on Form 10-K for the year ended December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Corporate Results</w:t>
      </w:r>
    </w:p>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presents the Company’s revenue, expenses and net income for the three month and nine month periods ended September 30, 2014 and the comparable periods in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8"/>
                <w:szCs w:val="18"/>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8"/>
                <w:szCs w:val="18"/>
                <w:color w:val="auto"/>
              </w:rPr>
              <w:t>Nine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380" w:type="dxa"/>
            <w:vAlign w:val="bottom"/>
            <w:gridSpan w:val="6"/>
          </w:tcPr>
          <w:p>
            <w:pPr>
              <w:jc w:val="right"/>
              <w:ind w:right="860"/>
              <w:spacing w:after="0"/>
              <w:rPr>
                <w:sz w:val="20"/>
                <w:szCs w:val="20"/>
                <w:color w:val="auto"/>
              </w:rPr>
            </w:pPr>
            <w:r>
              <w:rPr>
                <w:rFonts w:ascii="Arial" w:cs="Arial" w:eastAsia="Arial" w:hAnsi="Arial"/>
                <w:sz w:val="18"/>
                <w:szCs w:val="18"/>
                <w:color w:val="auto"/>
              </w:rPr>
              <w:t>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84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w:t>
            </w:r>
          </w:p>
        </w:tc>
        <w:tc>
          <w:tcPr>
            <w:tcW w:w="12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38,385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115,211</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107,777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Investment income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2,678</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2,534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Realized investment gains, net</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rPr>
              <w:t>Other income</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Arial" w:cs="Arial" w:eastAsia="Arial" w:hAnsi="Arial"/>
                <w:sz w:val="18"/>
                <w:szCs w:val="18"/>
                <w:color w:val="auto"/>
              </w:rPr>
              <w:t>Insurance benefits and losses incurred</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27,094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26,786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80,991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75,147</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Commissions and underwriting expenses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10,238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 expense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3,349</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2,934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1,457</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benefits and expenses</w:t>
            </w:r>
          </w:p>
        </w:tc>
        <w:tc>
          <w:tcPr>
            <w:tcW w:w="9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41,069</w:t>
            </w:r>
          </w:p>
        </w:tc>
        <w:tc>
          <w:tcPr>
            <w:tcW w:w="2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40,558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121,836</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114,782</w:t>
            </w: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1,451</w:t>
            </w:r>
          </w:p>
        </w:tc>
        <w:tc>
          <w:tcPr>
            <w:tcW w:w="20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0"/>
              <w:spacing w:after="0" w:line="19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2,680</w:t>
            </w: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3,148</w:t>
            </w:r>
          </w:p>
        </w:tc>
        <w:tc>
          <w:tcPr>
            <w:tcW w:w="1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9,562</w:t>
            </w:r>
          </w:p>
        </w:tc>
        <w:tc>
          <w:tcPr>
            <w:tcW w:w="1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51"/>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9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Management also considers and evaluates performance by analyzing the non-GAAP measure, operating income, and believes it is a useful metric for investors, potential investors, securities analysts and others because it isolates the “core” results of the Company before considering certain items that are either beyond the control of management (such as taxes, which are subject to timing, regulatory and rate changes depending on the timing of the associated revenues and expenses) or are not expected to regularly impact the Company’s operational results (such as any realized investment gains, which are not a part of the Company’s primary operations and are, to an extent, subject to discretion in terms of timing of realization).</w:t>
      </w:r>
    </w:p>
    <w:p>
      <w:pPr>
        <w:spacing w:after="0" w:line="20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 reconciliation of net income to operating income (loss) for the three month and nine month periods ended September 30, 2014 and the comparable periods in 2013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8"/>
                <w:szCs w:val="18"/>
                <w:color w:val="auto"/>
              </w:rPr>
              <w:t>Nine Months Ended</w:t>
            </w:r>
          </w:p>
        </w:tc>
      </w:tr>
      <w:tr>
        <w:trPr>
          <w:trHeight w:val="237"/>
        </w:trPr>
        <w:tc>
          <w:tcPr>
            <w:tcW w:w="4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6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20"/>
                <w:szCs w:val="20"/>
                <w:color w:val="auto"/>
              </w:rPr>
            </w:pPr>
          </w:p>
        </w:tc>
        <w:tc>
          <w:tcPr>
            <w:tcW w:w="2380" w:type="dxa"/>
            <w:vAlign w:val="bottom"/>
            <w:gridSpan w:val="6"/>
          </w:tcPr>
          <w:p>
            <w:pPr>
              <w:jc w:val="right"/>
              <w:ind w:right="860"/>
              <w:spacing w:after="0"/>
              <w:rPr>
                <w:sz w:val="20"/>
                <w:szCs w:val="20"/>
                <w:color w:val="auto"/>
              </w:rPr>
            </w:pPr>
            <w:r>
              <w:rPr>
                <w:rFonts w:ascii="Arial" w:cs="Arial" w:eastAsia="Arial" w:hAnsi="Arial"/>
                <w:sz w:val="18"/>
                <w:szCs w:val="18"/>
                <w:color w:val="auto"/>
              </w:rPr>
              <w:t>September 30,</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Reconciliation of Net Income to non-GAAP Measurement</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jc w:val="right"/>
              <w:ind w:right="88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Realized investment gains, net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(8,415)</w:t>
            </w:r>
          </w:p>
        </w:tc>
      </w:tr>
      <w:tr>
        <w:trPr>
          <w:trHeight w:val="237"/>
        </w:trPr>
        <w:tc>
          <w:tcPr>
            <w:tcW w:w="4580" w:type="dxa"/>
            <w:vAlign w:val="bottom"/>
          </w:tcPr>
          <w:p>
            <w:pPr>
              <w:spacing w:after="0" w:line="230" w:lineRule="exact"/>
              <w:rPr>
                <w:sz w:val="20"/>
                <w:szCs w:val="20"/>
                <w:color w:val="auto"/>
              </w:rPr>
            </w:pPr>
            <w:r>
              <w:rPr>
                <w:rFonts w:ascii="Arial" w:cs="Arial" w:eastAsia="Arial" w:hAnsi="Arial"/>
                <w:sz w:val="16"/>
                <w:szCs w:val="16"/>
                <w:color w:val="auto"/>
              </w:rPr>
              <w:t xml:space="preserve">Gain on purchase of debt securities </w:t>
            </w:r>
            <w:r>
              <w:rPr>
                <w:rFonts w:ascii="Arial" w:cs="Arial" w:eastAsia="Arial" w:hAnsi="Arial"/>
                <w:sz w:val="26"/>
                <w:szCs w:val="26"/>
                <w:color w:val="auto"/>
                <w:vertAlign w:val="superscript"/>
              </w:rPr>
              <w:t>(1)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5"/>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left="660" w:right="320" w:hanging="328"/>
        <w:spacing w:after="0" w:line="194" w:lineRule="auto"/>
        <w:tabs>
          <w:tab w:leader="none" w:pos="66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Gain from the purchase of $7.5 million of the Company’s junior subordinated deferrable interest debentures (“Junior Subordinated Debentures”). See Note 3 of the accompanying notes to the unaudited condensed consolidated financial statements.</w:t>
      </w:r>
    </w:p>
    <w:p>
      <w:pPr>
        <w:spacing w:after="0" w:line="22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a consolidated basis, the Company had net income of $1.5 million, or $0.06 per diluted share, for the three month period ended September 30, 2014, compared to net income of $2.7 million, or $0.12 per diluted share, for the three month period ended September 30, 2013. The Company had net income of $3.1 million, or $0.13 per diluted share, for the nine month period ended September 30, 2014, compared to net income of $9.6 million, or $0.42 per diluted share, for the nine month period ended September 30, 2013. Premium revenue for the three month period ended September 30, 2014 decreased slightly from the comparable 2013 period. For the nine month period ended September 30, 2014, premium revenue increased $7.4 million, or 6.9%, to $115.2 million from the comparable 2013 period. The decrease in premium revenue for the three month period ended September 30, 2014 was primarily attributable to declining first year premiums in the life and health operations. The increase in premium revenue for the nine month period ended September 30, 2014 was primarily due to an increase in commercial automobile earned premiums in the property and casualty operations resulting from a significant state contract which incepted in the second quarter of 2013. The decrease in net income for the three month and nine month periods ended September 30, 2014 was primarily due to a decrease in realized investment gains. During the three month and nine month periods ended September 30, 2014, realized investment gains decreased by $1.4 million and $7.0 million, respectively, as the Company sold several higher yielding longer-term investments in 2013 in order to shorten the average maturity of its investment portfolio. The Company had a small operating loss in the three month period ended September 30, 2014 compared to operating income of $0.4 million in the three month period ended September 30, 2013. The decrease in operating income for the three month period ended September 30, 2014 was attributable to higher losses in the property and casualty operations, increases in agency and underwriting related expenses, including increased hiring to support worksite product initiatives as well as amortization of unearned compensation from stock awards. Operating income increased to $1.4 million in the nine month period ended September 30, 2014 from $1.3 million in the comparable period of 2013. The increase in operating income for the nine month period ended September 30, 2014 was due primarily to increased profitability in the life and health operations resulting from more favorable loss experience in the nine month period ended September 30, 2014 as compared to the same period in 2013. Partially offsetting the increase in operating income was an increase in agency and underwriting related expense as well as increased compensation expense from stock awards, both described previously. Further, investment income decreased during the nine month period ended September 30, 2014 from the comparable period in 2013 due to the sale of several of the Company’s higher yielding longer-term investments in 2013, also discussed previously.</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more detailed analysis of the individual operating companies and other corporate activities is provided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Southern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summarizes American Southern’s premiums, losses, expenses and underwriting ratios for the three month and nine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the comparable periods in 2013: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6"/>
          </w:tcPr>
          <w:p>
            <w:pPr>
              <w:jc w:val="right"/>
              <w:ind w:right="590"/>
              <w:spacing w:after="0"/>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6"/>
          </w:tcPr>
          <w:p>
            <w:pPr>
              <w:jc w:val="right"/>
              <w:ind w:right="830"/>
              <w:spacing w:after="0"/>
              <w:rPr>
                <w:sz w:val="20"/>
                <w:szCs w:val="20"/>
                <w:color w:val="auto"/>
              </w:rPr>
            </w:pPr>
            <w:r>
              <w:rPr>
                <w:rFonts w:ascii="Arial" w:cs="Arial" w:eastAsia="Arial" w:hAnsi="Arial"/>
                <w:sz w:val="18"/>
                <w:szCs w:val="18"/>
                <w:color w:val="auto"/>
              </w:rPr>
              <w:t>September 30,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right"/>
              <w:ind w:right="590"/>
              <w:spacing w:after="0"/>
              <w:rPr>
                <w:sz w:val="20"/>
                <w:szCs w:val="20"/>
                <w:color w:val="auto"/>
              </w:rPr>
            </w:pPr>
            <w:r>
              <w:rPr>
                <w:rFonts w:ascii="Arial" w:cs="Arial" w:eastAsia="Arial" w:hAnsi="Arial"/>
                <w:sz w:val="18"/>
                <w:szCs w:val="18"/>
                <w:color w:val="auto"/>
              </w:rPr>
              <w:t>(Dollars in thousands)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written premiums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10,919</w:t>
            </w: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43,452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Ceded premiums</w:t>
            </w:r>
          </w:p>
        </w:tc>
        <w:tc>
          <w:tcPr>
            <w:tcW w:w="22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(1,445)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(1,856)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(4,694)</w:t>
            </w:r>
          </w:p>
        </w:tc>
        <w:tc>
          <w:tcPr>
            <w:tcW w:w="40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55"/>
        </w:trPr>
        <w:tc>
          <w:tcPr>
            <w:tcW w:w="4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written premiums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38,758</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earned premiums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0" w:lineRule="exact"/>
              <w:rPr>
                <w:sz w:val="20"/>
                <w:szCs w:val="20"/>
                <w:color w:val="auto"/>
              </w:rPr>
            </w:pPr>
            <w:r>
              <w:rPr>
                <w:rFonts w:ascii="Arial" w:cs="Arial" w:eastAsia="Arial" w:hAnsi="Arial"/>
                <w:sz w:val="18"/>
                <w:szCs w:val="18"/>
                <w:color w:val="auto"/>
              </w:rPr>
              <w:t>13,191</w:t>
            </w:r>
          </w:p>
        </w:tc>
        <w:tc>
          <w:tcPr>
            <w:tcW w:w="2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40" w:type="dxa"/>
            <w:vAlign w:val="bottom"/>
          </w:tcPr>
          <w:p>
            <w:pPr>
              <w:jc w:val="right"/>
              <w:ind w:right="50"/>
              <w:spacing w:after="0" w:line="190"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0" w:lineRule="exact"/>
              <w:rPr>
                <w:sz w:val="20"/>
                <w:szCs w:val="20"/>
                <w:color w:val="auto"/>
              </w:rPr>
            </w:pPr>
            <w:r>
              <w:rPr>
                <w:rFonts w:ascii="Arial" w:cs="Arial" w:eastAsia="Arial" w:hAnsi="Arial"/>
                <w:sz w:val="18"/>
                <w:szCs w:val="18"/>
                <w:color w:val="auto"/>
              </w:rPr>
              <w:t>13,137</w:t>
            </w:r>
          </w:p>
        </w:tc>
        <w:tc>
          <w:tcPr>
            <w:tcW w:w="20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39,142</w:t>
            </w:r>
          </w:p>
        </w:tc>
        <w:tc>
          <w:tcPr>
            <w:tcW w:w="280" w:type="dxa"/>
            <w:vAlign w:val="bottom"/>
            <w:vMerge w:val="continue"/>
          </w:tcPr>
          <w:p>
            <w:pPr>
              <w:spacing w:after="0"/>
              <w:rPr>
                <w:sz w:val="16"/>
                <w:szCs w:val="16"/>
                <w:color w:val="auto"/>
              </w:rPr>
            </w:pPr>
          </w:p>
        </w:tc>
        <w:tc>
          <w:tcPr>
            <w:tcW w:w="400" w:type="dxa"/>
            <w:vAlign w:val="bottom"/>
          </w:tcPr>
          <w:p>
            <w:pPr>
              <w:jc w:val="right"/>
              <w:ind w:right="210"/>
              <w:spacing w:after="0" w:line="190"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33,418</w:t>
            </w:r>
          </w:p>
        </w:tc>
        <w:tc>
          <w:tcPr>
            <w:tcW w:w="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 and loss adjustment expenses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9,154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29,207</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Underwriting expenses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3,789</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3,929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10,265</w:t>
            </w:r>
          </w:p>
        </w:tc>
        <w:tc>
          <w:tcPr>
            <w:tcW w:w="4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12,167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Underwriting income (loss)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ratio</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72.3%</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69.7%</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30"/>
              <w:spacing w:after="0" w:line="190" w:lineRule="exact"/>
              <w:rPr>
                <w:sz w:val="20"/>
                <w:szCs w:val="20"/>
                <w:color w:val="auto"/>
              </w:rPr>
            </w:pPr>
            <w:r>
              <w:rPr>
                <w:rFonts w:ascii="Arial" w:cs="Arial" w:eastAsia="Arial" w:hAnsi="Arial"/>
                <w:sz w:val="18"/>
                <w:szCs w:val="18"/>
                <w:color w:val="auto"/>
              </w:rPr>
              <w:t>74.6%</w:t>
            </w:r>
          </w:p>
        </w:tc>
        <w:tc>
          <w:tcPr>
            <w:tcW w:w="400" w:type="dxa"/>
            <w:vAlign w:val="bottom"/>
          </w:tcPr>
          <w:p>
            <w:pPr>
              <w:spacing w:after="0"/>
              <w:rPr>
                <w:sz w:val="16"/>
                <w:szCs w:val="16"/>
                <w:color w:val="auto"/>
              </w:rPr>
            </w:pPr>
          </w:p>
        </w:tc>
        <w:tc>
          <w:tcPr>
            <w:tcW w:w="940" w:type="dxa"/>
            <w:vAlign w:val="bottom"/>
            <w:gridSpan w:val="3"/>
          </w:tcPr>
          <w:p>
            <w:pPr>
              <w:jc w:val="right"/>
              <w:ind w:right="40"/>
              <w:spacing w:after="0" w:line="190" w:lineRule="exact"/>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Expense ratio</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28.7</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29.9</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26.2</w:t>
            </w:r>
          </w:p>
        </w:tc>
        <w:tc>
          <w:tcPr>
            <w:tcW w:w="4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Combined ratio</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Gross written premiums at American Southern decreased $1.6 million, or 14.9%, during the three month period ended September 30, 2014, and $4.6 million, or 9.5%, during the nine month period ended September 30, 2014, from the comparable periods in 2013. The decrease in gross written premiums in both the three month and nine month periods ended September 30, 2014 was primarily attributable to a decrease in commercial automobile written premiums resulting from the cancellation by the company of an agency due to unfavorable loss experience. During the three month and nine month periods ended September 30, 2014, gross written premiums from this agency decreased $1.6 million and $7.1 million, respectively, from the comparable periods in 2013. Partially offsetting the decrease was an increase in commercial automobile and property business from new and existing programs in both periods.</w:t>
      </w:r>
    </w:p>
    <w:p>
      <w:pPr>
        <w:spacing w:after="0" w:line="19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Ceded premiums decreased $0.4 million, or 22.1%, during the three month period ended September 30, 2014, and $1.0 million, or 17.7%, during the nine month period ended September 30, 2014, from the comparable periods in 2013. American Southern’s ceded premiums are determined as a percentage of earned premiums and generally increase or decrease as earned premiums increase or decrease. However, the change in ceded premiums during the nine month period ended September 30, 2014 was disproportionate to the increase in earned premiums due to the execution of a separate reinsurance agreement to specifically reinsure the commercial automobile business in a state contract awarded to American Southern in the second quarter of 2013. Otherwise, the decrease in ceded premiums for the three month and nine month periods ended September 30, 2014 was primarily attributable to the decline in commercial automobile earned premiums resulting from the agency cancellation discussed previously. Commercial automobile business generally has higher contractual reinsurance cession rates than other lines of business.</w:t>
      </w:r>
    </w:p>
    <w:p>
      <w:pPr>
        <w:spacing w:after="0" w:line="20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presents American Southern’s net earned premiums by line of business for the three month and nine month periods ended September 30, 2014 and the comparable periods in 2013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8"/>
                <w:szCs w:val="18"/>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8"/>
                <w:szCs w:val="18"/>
                <w:color w:val="auto"/>
              </w:rPr>
              <w:t>Nine Months Ended</w:t>
            </w:r>
          </w:p>
        </w:tc>
        <w:tc>
          <w:tcPr>
            <w:tcW w:w="1140" w:type="dxa"/>
            <w:vAlign w:val="bottom"/>
          </w:tcPr>
          <w:p>
            <w:pPr>
              <w:spacing w:after="0"/>
              <w:rPr>
                <w:sz w:val="18"/>
                <w:szCs w:val="18"/>
                <w:color w:val="auto"/>
              </w:rPr>
            </w:pPr>
          </w:p>
        </w:tc>
      </w:tr>
      <w:tr>
        <w:trPr>
          <w:trHeight w:val="237"/>
        </w:trPr>
        <w:tc>
          <w:tcPr>
            <w:tcW w:w="3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380" w:type="dxa"/>
            <w:vAlign w:val="bottom"/>
            <w:gridSpan w:val="6"/>
          </w:tcPr>
          <w:p>
            <w:pPr>
              <w:jc w:val="right"/>
              <w:ind w:right="860"/>
              <w:spacing w:after="0"/>
              <w:rPr>
                <w:sz w:val="20"/>
                <w:szCs w:val="20"/>
                <w:color w:val="auto"/>
              </w:rPr>
            </w:pPr>
            <w:r>
              <w:rPr>
                <w:rFonts w:ascii="Arial" w:cs="Arial" w:eastAsia="Arial" w:hAnsi="Arial"/>
                <w:sz w:val="18"/>
                <w:szCs w:val="18"/>
                <w:color w:val="auto"/>
              </w:rPr>
              <w:t>September 30,</w:t>
            </w:r>
          </w:p>
        </w:tc>
        <w:tc>
          <w:tcPr>
            <w:tcW w:w="1140" w:type="dxa"/>
            <w:vAlign w:val="bottom"/>
          </w:tcPr>
          <w:p>
            <w:pPr>
              <w:spacing w:after="0"/>
              <w:rPr>
                <w:sz w:val="20"/>
                <w:szCs w:val="20"/>
                <w:color w:val="auto"/>
              </w:rPr>
            </w:pPr>
          </w:p>
        </w:tc>
      </w:tr>
      <w:tr>
        <w:trPr>
          <w:trHeight w:val="237"/>
        </w:trPr>
        <w:tc>
          <w:tcPr>
            <w:tcW w:w="3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3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84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automobile</w:t>
            </w:r>
          </w:p>
        </w:tc>
        <w:tc>
          <w:tcPr>
            <w:tcW w:w="1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23,711</w:t>
            </w:r>
          </w:p>
        </w:tc>
        <w:tc>
          <w:tcPr>
            <w:tcW w:w="11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General liability</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940</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2,589</w:t>
            </w:r>
          </w:p>
        </w:tc>
        <w:tc>
          <w:tcPr>
            <w:tcW w:w="11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1,941</w:t>
            </w:r>
          </w:p>
        </w:tc>
        <w:tc>
          <w:tcPr>
            <w:tcW w:w="1140" w:type="dxa"/>
            <w:vAlign w:val="bottom"/>
          </w:tcPr>
          <w:p>
            <w:pPr>
              <w:spacing w:after="0"/>
              <w:rPr>
                <w:sz w:val="18"/>
                <w:szCs w:val="18"/>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Surety</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1,793</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1,717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5,177</w:t>
            </w:r>
          </w:p>
        </w:tc>
        <w:tc>
          <w:tcPr>
            <w:tcW w:w="1140" w:type="dxa"/>
            <w:vAlign w:val="bottom"/>
          </w:tcPr>
          <w:p>
            <w:pPr>
              <w:spacing w:after="0"/>
              <w:rPr>
                <w:sz w:val="20"/>
                <w:szCs w:val="20"/>
                <w:color w:val="auto"/>
              </w:rPr>
            </w:pPr>
          </w:p>
        </w:tc>
      </w:tr>
      <w:tr>
        <w:trPr>
          <w:trHeight w:val="255"/>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70"/>
        </w:trPr>
        <w:tc>
          <w:tcPr>
            <w:tcW w:w="3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33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Net earned premiums increased slightly during the three month period ended September 30, 2014, and $5.7 million, or 17.1%, during the nine month period ended September 30, 2014, over the comparable periods in 2013. The increase in net earned premiums for the three month period ended September 30, 2014 was primarily due to increases in property and surety earned premiums partially offset by a decrease in commercial automobile business resulting from the agency cancellation discussed previously. The increase in net earned premiums for the nine month period ended September 30, 2014 was primarily attributable to the increase in commercial automobile earned premiums from the state contract referenced previously. Also contributing were increases in general liability, property and surety earned premiums resulting from both new and existing programs. Premiums are earned ratably over their respective policy terms, and therefore premiums earned in the current year are related to policies written during both the current year and immediately preceding year.</w:t>
      </w:r>
    </w:p>
    <w:p>
      <w:pPr>
        <w:spacing w:after="0" w:line="19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Net loss and loss adjustment expenses at American Southern increased $0.4 million, or 4.1%, during the three month period ended September 30, 2014, and $7.7 million, or 35.6%, during the nine month period ended September 30, 2014, over the comparable periods in 2013. As a percentage of premiums, net loss and loss adjustment expenses were 72.3% in the three month period ended September 30, 2014, compared to 69.7% in the three month period ended September 30, 2013. For the nine month period ended September 30, 2014, this ratio increased to 74.6% from 64.4% in the comparable period of 2013. The increase in the loss ratio for the three month and nine month periods ended September 30, 2014 was primarily due to increased losses, which were anticipated, in the commercial automobile line of business resulting from the state contract referenced previously. Also contributing to the increase in the loss ratio were increased losses from other commercial automobile programs as well as higher claims in the property and surety lines of business.</w:t>
      </w:r>
    </w:p>
    <w:p>
      <w:pPr>
        <w:spacing w:after="0" w:line="19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Underwriting expenses decreased $0.1 million, or 3.6%, during the three month period ended September 30, 2014, and $1.9 million, or 15.6%, during the nine month period ended September 30, 2014, from the comparable periods in 2013. As a percentage of premiums, underwriting expenses were 28.7% in the three month period ended September 30, 2014, compared to 29.9% in the three month period ended September 30, 2013. For the nine month period ended September 30, 2014, this ratio decreased to 26.2% from 36.4% in the comparable period of 2013. The decrease in the expense ratio for the three month and nine month periods ended September 30, 2014 was primarily due to American Southern’s variable commission structure, which compensates the company’s agents in relation to the loss ratios of the business they write. During periods in which the loss ratio increases, commissions and underwriting expenses will generally decrease, and conversely, during periods in which the loss ratio decreases, commissions and underwriting expenses will generally increase. During the three month and nine month periods ended September 30, 2014, these commissions at American Southern decreased $0.1 million and $2.0 million, respectively, from the comparable periods in 2013 due to unfavorable loss experience. Also contributing to the decrease in the 2014 year to date expense ratio was the increase in earned premiums coupled with a relatively consistent level of fixed general and administrative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Bankers Fidelity</w:t>
      </w:r>
    </w:p>
    <w:p>
      <w:pPr>
        <w:spacing w:after="0" w:line="25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summarizes Bankers Fidelity’s earned premiums, losses, expenses and underwriting ratios for the three month and nine month periods ended September 30, 2014 and the comparable periods in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6"/>
          </w:tcPr>
          <w:p>
            <w:pPr>
              <w:jc w:val="center"/>
              <w:ind w:right="350"/>
              <w:spacing w:after="0"/>
              <w:rPr>
                <w:sz w:val="20"/>
                <w:szCs w:val="20"/>
                <w:color w:val="auto"/>
              </w:rPr>
            </w:pPr>
            <w:r>
              <w:rPr>
                <w:rFonts w:ascii="Arial" w:cs="Arial" w:eastAsia="Arial" w:hAnsi="Arial"/>
                <w:sz w:val="18"/>
                <w:szCs w:val="18"/>
                <w:color w:val="auto"/>
                <w:w w:val="90"/>
              </w:rPr>
              <w:t>Three Months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right"/>
              <w:ind w:right="650"/>
              <w:spacing w:after="0"/>
              <w:rPr>
                <w:sz w:val="20"/>
                <w:szCs w:val="20"/>
                <w:color w:val="auto"/>
              </w:rPr>
            </w:pPr>
            <w:r>
              <w:rPr>
                <w:rFonts w:ascii="Arial" w:cs="Arial" w:eastAsia="Arial" w:hAnsi="Arial"/>
                <w:sz w:val="18"/>
                <w:szCs w:val="18"/>
                <w:color w:val="auto"/>
              </w:rPr>
              <w:t>Nine Months Ended</w:t>
            </w:r>
          </w:p>
        </w:tc>
        <w:tc>
          <w:tcPr>
            <w:tcW w:w="1140" w:type="dxa"/>
            <w:vAlign w:val="bottom"/>
          </w:tcPr>
          <w:p>
            <w:pPr>
              <w:spacing w:after="0"/>
              <w:rPr>
                <w:sz w:val="18"/>
                <w:szCs w:val="18"/>
                <w:color w:val="auto"/>
              </w:rPr>
            </w:pPr>
          </w:p>
        </w:tc>
      </w:tr>
      <w:tr>
        <w:trPr>
          <w:trHeight w:val="237"/>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6"/>
          </w:tcPr>
          <w:p>
            <w:pPr>
              <w:jc w:val="center"/>
              <w:ind w:right="350"/>
              <w:spacing w:after="0"/>
              <w:rPr>
                <w:sz w:val="20"/>
                <w:szCs w:val="20"/>
                <w:color w:val="auto"/>
              </w:rPr>
            </w:pPr>
            <w:r>
              <w:rPr>
                <w:rFonts w:ascii="Arial" w:cs="Arial" w:eastAsia="Arial" w:hAnsi="Arial"/>
                <w:sz w:val="18"/>
                <w:szCs w:val="18"/>
                <w:color w:val="auto"/>
                <w:w w:val="88"/>
              </w:rPr>
              <w:t>September 30,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7"/>
        </w:trPr>
        <w:tc>
          <w:tcPr>
            <w:tcW w:w="48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2013</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right"/>
              <w:ind w:right="590"/>
              <w:spacing w:after="0"/>
              <w:rPr>
                <w:sz w:val="20"/>
                <w:szCs w:val="20"/>
                <w:color w:val="auto"/>
              </w:rPr>
            </w:pPr>
            <w:r>
              <w:rPr>
                <w:rFonts w:ascii="Arial" w:cs="Arial" w:eastAsia="Arial" w:hAnsi="Arial"/>
                <w:sz w:val="18"/>
                <w:szCs w:val="18"/>
                <w:color w:val="auto"/>
              </w:rPr>
              <w:t>(Dollars in thousands)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Medicare supplement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21,218</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21,276</w:t>
            </w: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64,118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62,340</w:t>
            </w:r>
          </w:p>
        </w:tc>
        <w:tc>
          <w:tcPr>
            <w:tcW w:w="114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health products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1,174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3,556</w:t>
            </w:r>
          </w:p>
        </w:tc>
        <w:tc>
          <w:tcPr>
            <w:tcW w:w="400" w:type="dxa"/>
            <w:vAlign w:val="bottom"/>
          </w:tcPr>
          <w:p>
            <w:pPr>
              <w:spacing w:after="0"/>
              <w:rPr>
                <w:sz w:val="18"/>
                <w:szCs w:val="18"/>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3,484</w:t>
            </w:r>
          </w:p>
        </w:tc>
        <w:tc>
          <w:tcPr>
            <w:tcW w:w="1140" w:type="dxa"/>
            <w:vAlign w:val="bottom"/>
          </w:tcPr>
          <w:p>
            <w:pPr>
              <w:spacing w:after="0"/>
              <w:rPr>
                <w:sz w:val="18"/>
                <w:szCs w:val="18"/>
                <w:color w:val="auto"/>
              </w:rPr>
            </w:pPr>
          </w:p>
        </w:tc>
      </w:tr>
      <w:tr>
        <w:trPr>
          <w:trHeight w:val="25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Life insurance</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2,798</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8,395</w:t>
            </w: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8,535</w:t>
            </w:r>
          </w:p>
        </w:tc>
        <w:tc>
          <w:tcPr>
            <w:tcW w:w="1140" w:type="dxa"/>
            <w:vAlign w:val="bottom"/>
          </w:tcPr>
          <w:p>
            <w:pPr>
              <w:spacing w:after="0"/>
              <w:rPr>
                <w:sz w:val="21"/>
                <w:szCs w:val="21"/>
                <w:color w:val="auto"/>
              </w:rPr>
            </w:pPr>
          </w:p>
        </w:tc>
      </w:tr>
      <w:tr>
        <w:trPr>
          <w:trHeight w:val="210"/>
        </w:trPr>
        <w:tc>
          <w:tcPr>
            <w:tcW w:w="482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earned premiums</w:t>
            </w: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25,146</w:t>
            </w:r>
          </w:p>
        </w:tc>
        <w:tc>
          <w:tcPr>
            <w:tcW w:w="2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25,248</w:t>
            </w:r>
          </w:p>
        </w:tc>
        <w:tc>
          <w:tcPr>
            <w:tcW w:w="20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76,069</w:t>
            </w:r>
          </w:p>
        </w:tc>
        <w:tc>
          <w:tcPr>
            <w:tcW w:w="28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74,359</w:t>
            </w:r>
          </w:p>
        </w:tc>
        <w:tc>
          <w:tcPr>
            <w:tcW w:w="180" w:type="dxa"/>
            <w:vAlign w:val="bottom"/>
            <w:tcBorders>
              <w:top w:val="single" w:sz="8" w:color="CCEEFF"/>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Insurance benefits and losses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53,614</w:t>
            </w: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Underwriting expenses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8,294</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7,960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25,423</w:t>
            </w:r>
          </w:p>
        </w:tc>
        <w:tc>
          <w:tcPr>
            <w:tcW w:w="400" w:type="dxa"/>
            <w:vAlign w:val="bottom"/>
          </w:tcPr>
          <w:p>
            <w:pPr>
              <w:spacing w:after="0"/>
              <w:rPr>
                <w:sz w:val="20"/>
                <w:szCs w:val="20"/>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22,315</w:t>
            </w:r>
          </w:p>
        </w:tc>
        <w:tc>
          <w:tcPr>
            <w:tcW w:w="1140" w:type="dxa"/>
            <w:vAlign w:val="bottom"/>
          </w:tcPr>
          <w:p>
            <w:pPr>
              <w:spacing w:after="0"/>
              <w:rPr>
                <w:sz w:val="20"/>
                <w:szCs w:val="20"/>
                <w:color w:val="auto"/>
              </w:rPr>
            </w:pPr>
          </w:p>
        </w:tc>
      </w:tr>
      <w:tr>
        <w:trPr>
          <w:trHeight w:val="236"/>
        </w:trPr>
        <w:tc>
          <w:tcPr>
            <w:tcW w:w="4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77,207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17"/>
        </w:trPr>
        <w:tc>
          <w:tcPr>
            <w:tcW w:w="4820" w:type="dxa"/>
            <w:vAlign w:val="bottom"/>
          </w:tcPr>
          <w:p>
            <w:pPr>
              <w:ind w:left="340"/>
              <w:spacing w:after="0"/>
              <w:rPr>
                <w:sz w:val="20"/>
                <w:szCs w:val="20"/>
                <w:color w:val="auto"/>
              </w:rPr>
            </w:pPr>
            <w:r>
              <w:rPr>
                <w:rFonts w:ascii="Arial" w:cs="Arial" w:eastAsia="Arial" w:hAnsi="Arial"/>
                <w:sz w:val="18"/>
                <w:szCs w:val="18"/>
                <w:color w:val="auto"/>
              </w:rPr>
              <w:t>Underwriting loss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 ratio</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7"/>
              </w:rPr>
              <w:t>69.8%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140" w:type="dxa"/>
            <w:vAlign w:val="bottom"/>
          </w:tcPr>
          <w:p>
            <w:pPr>
              <w:spacing w:after="0"/>
              <w:rPr>
                <w:sz w:val="18"/>
                <w:szCs w:val="18"/>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Expense ratio</w:t>
            </w:r>
          </w:p>
        </w:tc>
        <w:tc>
          <w:tcPr>
            <w:tcW w:w="220" w:type="dxa"/>
            <w:vAlign w:val="bottom"/>
          </w:tcPr>
          <w:p>
            <w:pPr>
              <w:spacing w:after="0"/>
              <w:rPr>
                <w:sz w:val="20"/>
                <w:szCs w:val="20"/>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33.0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33.4</w:t>
            </w:r>
          </w:p>
        </w:tc>
        <w:tc>
          <w:tcPr>
            <w:tcW w:w="400" w:type="dxa"/>
            <w:vAlign w:val="bottom"/>
          </w:tcPr>
          <w:p>
            <w:pPr>
              <w:spacing w:after="0"/>
              <w:rPr>
                <w:sz w:val="20"/>
                <w:szCs w:val="20"/>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30.0</w:t>
            </w:r>
          </w:p>
        </w:tc>
        <w:tc>
          <w:tcPr>
            <w:tcW w:w="1140" w:type="dxa"/>
            <w:vAlign w:val="bottom"/>
          </w:tcPr>
          <w:p>
            <w:pPr>
              <w:spacing w:after="0"/>
              <w:rPr>
                <w:sz w:val="20"/>
                <w:szCs w:val="20"/>
                <w:color w:val="auto"/>
              </w:rPr>
            </w:pPr>
          </w:p>
        </w:tc>
      </w:tr>
      <w:tr>
        <w:trPr>
          <w:trHeight w:val="255"/>
        </w:trPr>
        <w:tc>
          <w:tcPr>
            <w:tcW w:w="4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70"/>
        </w:trPr>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ind w:left="560"/>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4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Premium revenue at Bankers Fidelity decreased $0.1 million during the three month period ended September 30, 2014 from the three month period ended September 30, 2013, and increased $1.7 million, or 2.3%, during the nine month period ended September 30, 2014, over the comparable period in 2013. Premiums from the Medicare supplement line of business decreased slightly during the three month period ended September 30, 2014 from the three month period ended September 30, 2013, and increased $1.8 million, or 2.9%, during the nine month period ended September 30, 2014 over the comparable period in 2013. The decrease in Medicare supplement premiums for the three month period ended September 30, 2014 was primarily attributable to declining first year premiums. The increase in Medicare supplement premiums for the nine month period ended September 30, 2014 was primarily due to the implementation of rate increases on renewal business. Other health product premiums increased slightly during the same comparable periods, primarily as a result of new sales of the company’s short-term care products. Premiums from the life insurance line of business decreased $0.1 million, or 1.9% during the three month period ended September 30, 2014, and $0.1 million, or 1.6%, during the nine month period ended September 30, 2014 from the comparable 2013 periods due to the redemption and settlement of existing policy obligations exceeding the level of new sales activity.</w:t>
      </w:r>
    </w:p>
    <w:p>
      <w:pPr>
        <w:spacing w:after="0" w:line="196"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Benefits and losses decreased slightly during the three month period ended September 30, 2014, and $1.8 million, or 3.4%, during the nine month period ended September 30, 2014, from the comparable periods in 2013. As a percentage of premiums, benefits and losses were 69.8% in both the three month periods ended September 30, 2014 and 2013. For the nine month period ended September 30, 2014, this ratio decreased to 68.1% from 72.1% in the comparable period of 2013. The decrease in the loss ratio for the nine month period ended September 30, 2014 was primarily attributable to more favorable loss experience in the Medicare supplement line of business as well as the implementation of rate increases on renewed policies.</w:t>
      </w:r>
    </w:p>
    <w:p>
      <w:pPr>
        <w:spacing w:after="0" w:line="20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Underwriting expenses increased $0.3 million, or 4.2%, during the three month period ended September 30, 2014, and $3.1 million, or 13.9%, during the nine month period ended September 30, 2014, over the comparable periods in 2013. As a percentage of premiums, underwriting expenses were 33.0% in the three month period ended September 30, 2014, compared to 31.5% in the three month period ended September 30, 2013. For the nine month period ended September 30, 2014, this ratio increased to 33.4% from 30.0% in the comparable period of 2013. The increase in the expense ratio for the three month and nine month periods ended September 30, 2014 was primarily attributable to increases in agency and underwriting related expenses including increased hiring to support worksite product initiatives. Partially offsetting the increase in expense ratios for the three month and nine month periods ended September 30, 2014 was a decrease in general advertising expenses as well as a decrease in consulting fees resulting from less utilization of external actuaries in the development of the company’s worksite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INCOME AND REALIZED GAINS</w:t>
      </w:r>
    </w:p>
    <w:p>
      <w:pPr>
        <w:spacing w:after="0" w:line="25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Investment income increased $0.1 million, or 5.7%, during the three month period ended September 30, 2014, over the three month period ended September 30, 2013, and decreased $0.3 million, or 4.1%, during the nine month period ended September 30, 2014, from the comparable period in 2013. The increase in investment income for the three month period ended September 30, 2014 was primarily due to a higher average balance of fixed maturities held by the Company in the 2014 third quarter as compared to the same period of 2013. The decrease in investment income for the nine month period ended September 30, 2014 was primarily attributable to sales during 2013 of a number of the Company’s higher yielding, longer-term fixed maturities due to management’s decision to shorten the average maturity in the portfolio.</w:t>
      </w:r>
    </w:p>
    <w:p>
      <w:pPr>
        <w:spacing w:after="0" w:line="20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had net realized investment gains of $0.8 million during the three month period ended September 30, 2014, compared to net realized investment gains of $2.3 million in the three month period ended September 30, 2013. The Company had net realized investment gains of $1.4 million during the nine month period ended September 30, 2014, compared to net realized investment gains of $8.4 million in the nine month period ended September 30, 2013. The net realized investment gains in the three month and nine month periods ended September 30, 2014 resulted from the disposition of several of the Company’s investments in fixed maturities. The net realized investment gains in the three month and nine month periods ended September 30, 2013 was primarily due to the sale of a number of the Company’s investments in longer-term fixed maturities described above. During the three month and nine month periods ended September 30, 2014, the Company recorded investment impairments due to other than temporary declines in values of $0.2 million on certain of its investments in non-redeemable preferred stocks. While the impairments did not impact the carrying value of the investments, they resulted in realized losses which reduced reported realized investment gains. There were no impairments recorded during the three month and nine month periods ended September 30, 2013. Management continually evaluates the Company’s investment portfolio and, as may be determined to be appropriate, makes adjustments for impairments and/or will divest investments.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5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Interest expense decreased $0.1 million, or 12.2%, during the three month period ended September 30, 2014, and $0.2 million, or 14.1%, during the nine month period ended September 30, 2014, from the comparable periods in 2013. The decrease in interest expense for the three month period ended September 30, 2014 was primarily attributable to a decrease in the outstanding amount of Junior Subordinated Debentures. On August 4, 2014, the Company acquired $7.5 million of principal amount Junior Subordinated Debentures, which decreased the outstanding balance to $33.7 million and resulted in lower interest expense in the 2014 third quarter and year to date periods. The decrease in interest expense for the nine month period ended September 30, 2014 was also primarily due to the termination of the Company’s zero cost interest rate collar with Wells Fargo Bank, National Association (“Wells Fargo”) on March 4, 2013, the stated maturity date, by its terms. The interest rate collar had a London Interbank Offered Rate (“LIBOR”) floor of 4.77%. As a result of interest rates remaining below the LIBOR floor, the Company was making payments to Wells Fargo under the interest rate collar through the maturity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EXPENSES</w:t>
      </w:r>
    </w:p>
    <w:p>
      <w:pPr>
        <w:spacing w:after="0" w:line="25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Other expenses (commissions, underwriting expenses, and other expenses) increased $0.3 million, or 1.9%, during the three month period ended September 30, 2014, and $1.4 million, or 3.7%, during the nine month period ended September 30, 2014, over the comparable periods in 2013. The increase in other expenses for the three month and nine month periods ended September 30, 2014 was primarily attributable to increases in agency and underwriting related expenses including increased hiring to support worksite product initiatives, amortization of deferred acquisition costs exceeding deferrals due to lower levels of new business as well as amortization of unearned compensation from stock awards in the past twelve month period. Further, during the nine month period ended September 30, 2014, there was an increase in severance expense related to an increase in the number of employee separations as compared to the same period in 2013. Partially offsetting the increase in other expenses for the three month and nine month periods ended September 30, 2014 was a decrease in commission accruals at American Southern due to recent increased loss experience. During the three month and nine month periods ended September 30, 2014, these commissions at American Southern decreased $0.1 million and $2.0 million, respectively, from the comparable periods in 2013. The majority of American Southern’s business is structured in a way that agents are compensated based upon the loss ratios of the business they place with the company. During periods in which the loss ratio increases, commissions and underwriting expenses will generally decrease, and conversely, during periods in which the loss ratio decreases, commissions and underwriting expenses will generally increase. On a consolidated basis, as a percentage of earned premiums, other expenses increased to 35.4% in the three month period ended September 30, 2014 from 34.7% in the three month period ended September 30, 2013. For the nine month period ended September 30, 2014, this ratio decreased to 34.4% from 35.4% in the comparable period of 2013. The increase in the expense ratio for the three month period ended September 30, 2014 was primarily attributable to the increase in agency and underwriting related expenses as well as increased compensation expense from stock awards discussed previously. The decrease in the expense ratio for the nine month period ended September 30, 2014 was primarily due to the reduction in commission accruals at American Southern.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primary differences between the effective tax rate and the federal statutory income tax rate for the three month and nine month periods ended September 30, 2014 and 2013 resulted from the dividends-received deduction (“DRD”), the small life insurance company deduction (“SLD”) and the change in deferred tax asset valuation allowance. The current estimated DRD is adjusted as underlying factors change and can vary from estimates based on, but not limited to, actual distributions from investments as well as the amount of the Company’s taxable income. The SLD varies in amount and is determined at a rate of 60 percent of the tentative life insurance company taxable income (“LICTI”). The SLD for any taxable year is reduced (but not below zero) by 15 percent of the tentative LICTI for such taxable year as it exceeds $3.0 million and is ultimately phased out at $15.0 million. The change in deferred tax asset valuation allowance was due to the unanticipated utilization of certain capital loss carryforward benefits that had been previously reduced to zero through an existing valuation allowance reserve. The provision-to-filed return adjustments are generally updated at the completion of the third quarter of each fiscal year, after the Company’s tax return for the previous year is filed with the IRS.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primary cash needs of the Company are for the payment of claims and operating expenses, maintaining adequate statutory capital and surplus levels, and meeting debt service requirements. Current and expected patterns of claim frequency and severity may change from period to period but generally are expected to continue within historical ranges. The Company’s primary sources of cash are written premiums, investment income and proceeds from the sale and maturity of its invested assets. The Company believes that, within each operating company, total invested assets will be sufficient to satisfy all policy liabilities and that cash inflows from investment earnings, future premium receipts and reinsurance collections will be adequate to fund the payment of claims and expenses as needed.</w:t>
      </w:r>
    </w:p>
    <w:p>
      <w:pPr>
        <w:spacing w:after="0" w:line="220"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Cash flows at the Parent are derived from dividends, management fees, and tax-sharing payments, as described below, from the subsidiaries. The principal cash needs of the Parent are for the payment of operating expenses, the acquisition of capital assets and debt service requirements, as well as the repurchase of shares and payments of any dividends as may be authorized and approved by the Company’s board of directors from time to time. At September 30, 2014, the Parent had approximately $19.5 million of unrestricted cash and investments.</w:t>
      </w:r>
    </w:p>
    <w:p>
      <w:pPr>
        <w:spacing w:after="0" w:line="198"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The Parent’s insurance subsidiaries reported statutory net income of $4.9 million for the nine month period ended September 30, 2014 compared to statutory net income of $5.9 million for the nine month period ended September 30, 2013. Statutory results are impacted by the recognition of all costs of acquiring business. In periods in which the Company’s first year premiums increase, statutory results are generally lower than results determined under GAAP. Statutory results for the Company’s property and casualty operations may differ from the Company’s results of operations under GAAP due to the deferral of acquisition costs for financial reporting purposes. The Company’s life and health operations’ statutory results may differ from GAAP results primarily due to the deferral of acquisition costs for financial reporting purposes, as well as the use of different reserving methods.</w:t>
      </w:r>
    </w:p>
    <w:p>
      <w:pPr>
        <w:spacing w:after="0" w:line="192"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Over 90% of the invested assets of the Parent’s insurance subsidiaries are invested in marketable securities that can be converted into cash, if required; however, the use of such assets by the Company is limited by state insurance regulations. Dividend payments to a parent corporation by its wholly owned insurance subsidiaries are subject to annual limitations and are restricted to 10% of statutory surplus or statutory earnings before recognizing realized investment gains of the individual insurance subsidiaries. At September 30, 2014, American Southern had $38.9 million of statutory surplus and Bankers Fidelity had $33.9 million of statutory surplus. In 2014, dividend payments by the Parent’s insurance subsidiaries in excess of $7.1 million would require prior approval.</w:t>
      </w:r>
    </w:p>
    <w:p>
      <w:pPr>
        <w:spacing w:after="0" w:line="22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Parent provides certain administrative and other services to each of its insurance subsidiaries. The amounts charged to and paid by the subsidiaries include reimbursements for various shared services and other expenses incurred directly on behalf of the subsidiaries by the Parent. In addition, there is in place a formal tax-sharing agreement between the Parent and its insurance subsidiaries. It is anticipated that this agreement will provide the Parent with additional funds from profitable subsidiaries due to the subsidiaries' use of the Parent’s operating and capital loss carryforwards which totaled approximately $0.1 million and $4.6 million, respectively, at September 30, 2014.</w:t>
      </w:r>
    </w:p>
    <w:p>
      <w:pPr>
        <w:spacing w:after="0" w:line="21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 has two statutory trusts which exist for the exclusive purpose of issuing trust preferred securities representing undivided beneficial interests in the assets of the trusts and investing the gross proceeds of the trust preferred securities in Junior Subordinated Debentures. The outstanding $18.0 million and $15.7 million of Junior Subordinated Debentures mature on December 4, 2032 and May 15, 2033, respectively, are callable quarterly, in whole or in part, only at the option of the Company, and have an interest rate of three-month LIBOR plus an applicable margin. The margin ranges from 4.00% to 4.10%. At September 30, 2014, the effective interest rate was 4.3%. The obligations of the Company with respect to the issuances of the trust preferred securities represent a full and unconditional guarantee by the Parent of each trust’s obligations with respect to the trust preferred securities. Subject to certain exceptions and limitations, the Company may elect from time to time to defer Junior Subordinated Debenture interest payments, which would result in a deferral of distribution payments on the related trust preferred securities. The Company has not made such an election.</w:t>
      </w:r>
    </w:p>
    <w:p>
      <w:pPr>
        <w:spacing w:after="0" w:line="19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intends to pay its obligations under the Junior Subordinated Debentures using existing cash balances, dividend and tax-sharing payments from the operating subsidiaries, or from potential future financing arrangements.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At September 30, 2014, the Company had 65,000 shares of Series D preferred stock (“Series D Preferred Stock”) outstanding. All of the shares of Series D Preferred Stock are held by an affiliate of the Company’s controlling shareholder. The outstanding shares of Series D Preferred Stock have a stated value of $100 per share; accrue annual dividends at a rate of $7.25 per share (payable in cash or shares of the Company’s common stock at the option of the board of directors of the Company) and are cumulative. In certain circumstances, the shares of the Series D Preferred Stock may be convertible into an aggregate of approximately 1,629,000 shares of the Company’s common stock, subject to certain adjustments and provided that such adjustments do not result in the Company issuing more than approximately 2,703,000 shares of common stock without obtaining prior shareholder approval; and are redeemable solely at the Company’s option. The Series D Preferred Stock is not currently convertible. At September 30, 2014, the Company had accrued but unpaid dividends on the Series D Preferred Stock totaling $0.4 million.</w:t>
      </w:r>
    </w:p>
    <w:p>
      <w:pPr>
        <w:spacing w:after="0" w:line="206"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Cash and cash equivalents decreased from $33.1 million at December 31, 2013 to $16.5 million at September 30, 2014. The decrease in cash and cash equivalents during the nine month period ended September 30, 2014 was primarily attributable to net cash used in operating activities of $1.8 million, additions to property and equipment of $3.8 million, dividends paid on the Company’s common stock of $0.4 million, the purchase of Junior Subordinated Debentures for treasury for $6.8 million and the purchase of shares for treasury for $2.4 million.</w:t>
      </w:r>
    </w:p>
    <w:p>
      <w:pPr>
        <w:spacing w:after="0" w:line="19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believes that existing cash balances as well as the dividends, fees, and tax-sharing payments it receives from its subsidiaries and, if needed, additional borrowings from financial institutions or other financial sources, will enable the Company to meet its liquidity requirements for the foreseeable future. Management is not aware of any current recommendations by regulatory authorities, which, if implemented, would have a material adverse effect on the Company's liquidity, capital resources or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52"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of 1934 (the “Exchange Act”) reports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 Management necessarily applies its judgment in assessing the costs and benefits of such controls and procedures, which, by their nature, can provide only reasonable assurance regarding management’s control objectives. The Company’s management, including the Chief Executive Officer and Chief Financial Officer, does not expect that our disclosure controls and procedures can prevent all possible errors or fraud. A control system, no matter how well conceived and operated, can provide only reasonable, not absolute, assurance that the objectives of the control system are met. There are inherent limitations in all control systems, including the realities that judgments in decision-making can be faulty, and that breakdowns can occur because of simple errors or mistakes. Additionally, controls can be circumvented by the individual acts of one or more persons. The design of any system of controls is based in part upon certain assumptions about the likelihood of future events, and, while our disclosure controls and procedures are designed to be effective under circumstances where they should reasonably be expected to operate effectively, there can be no assurance that any design will succeed in achieving its stated goals under all potential future conditions. Because of the inherent limitations in any control system, misstatements due to possible errors or fraud may occur and may not be detected. An evaluation was performed under the supervision and with the participation of our management, including the Chief Executive Officer and Chief Financial Officer, of the effectiveness of the design and operation of our disclosure controls and procedures (as defined in Rules 13a-15(e) and 15d-15(e) of the Exchange Act). Based on that evaluation, our management, including the Chief Executive Officer and Chief Financial Officer, concluded that our disclosure controls and procedures were effective as of the end of the period covered by this report.</w:t>
      </w:r>
    </w:p>
    <w:p>
      <w:pPr>
        <w:spacing w:after="0" w:line="22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report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i w:val="1"/>
          <w:iCs w:val="1"/>
          <w:color w:val="auto"/>
        </w:rPr>
        <w:t>This report contains and references certain information that constitutes forward-looking statements as that term is defined in the federal securities laws. Those statements, to the extent they are not historical facts, should be considered forward-looking statements, and are subject to various risks and uncertainties. Such forward-looking statements are made based upon management’s current assessments of various risks and uncertainties, as well as assumptions made in accordance with the “safe harbor” provisions of the federal securities laws. The Company’s actual results could differ materially from the results anticipated in these forward-looking statements as a result of such risks and uncertainties, including those identified in the Company’s Annual Report on Form 10-K for the fiscal year ended December 31, 2013, subsequent quarterly reports on Form 10-Q and the other filings made by the Company from time to time with the Securities and Exchange Commission. The Company undertakes no obligation to update any forward-looking statement as a result of subsequent developments, changes in underlying assumptions or facts, or otherwise.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252"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On May 6, 2014, the Board of Directors of the Company approved a plan that allows for the repurchase of up to 750,000 shares of the Company's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common stock (the "Repurchase Plan") on the open market or in privately negotiated transactions, as determined by an authorized officer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such repurchases can be made from time to time in accordance with applicable securities laws and other requirements.</w:t>
      </w:r>
    </w:p>
    <w:p>
      <w:pPr>
        <w:spacing w:after="0" w:line="23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Other than pursuant to the Repurchase Plan, no purchases of common stock of the Company were made by or on behalf of the Company during the periods described below.</w:t>
      </w:r>
    </w:p>
    <w:p>
      <w:pPr>
        <w:spacing w:after="0" w:line="19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table below sets forth information regarding repurchases by the Company of shares of its common stock on a monthly basis during the three month period ended September 30,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Total Number 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8"/>
                <w:szCs w:val="18"/>
                <w:color w:val="auto"/>
                <w:w w:val="86"/>
              </w:rPr>
              <w:t>Shares Purchased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as Part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Publicly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 Paid</w:t>
            </w:r>
          </w:p>
        </w:tc>
        <w:tc>
          <w:tcPr>
            <w:tcW w:w="15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Announced Plans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c>
          <w:tcPr>
            <w:tcW w:w="0" w:type="dxa"/>
            <w:vAlign w:val="bottom"/>
          </w:tcPr>
          <w:p>
            <w:pPr>
              <w:spacing w:after="0"/>
              <w:rPr>
                <w:sz w:val="1"/>
                <w:szCs w:val="1"/>
                <w:color w:val="auto"/>
              </w:rPr>
            </w:pPr>
          </w:p>
        </w:tc>
      </w:tr>
      <w:tr>
        <w:trPr>
          <w:trHeight w:val="237"/>
        </w:trPr>
        <w:tc>
          <w:tcPr>
            <w:tcW w:w="800" w:type="dxa"/>
            <w:vAlign w:val="bottom"/>
            <w:gridSpan w:val="2"/>
          </w:tcPr>
          <w:p>
            <w:pPr>
              <w:spacing w:after="0"/>
              <w:rPr>
                <w:sz w:val="20"/>
                <w:szCs w:val="20"/>
                <w:color w:val="auto"/>
              </w:rPr>
            </w:pPr>
            <w:r>
              <w:rPr>
                <w:rFonts w:ascii="Arial" w:cs="Arial" w:eastAsia="Arial" w:hAnsi="Arial"/>
                <w:sz w:val="18"/>
                <w:szCs w:val="18"/>
                <w:color w:val="auto"/>
              </w:rPr>
              <w:t>Period</w:t>
            </w:r>
          </w:p>
        </w:tc>
        <w:tc>
          <w:tcPr>
            <w:tcW w:w="4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per Share</w:t>
            </w:r>
          </w:p>
        </w:tc>
        <w:tc>
          <w:tcPr>
            <w:tcW w:w="2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or Programs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Programs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July 1 – July 31, 2014</w:t>
            </w: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4.04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August 1 – August 31, 2014</w:t>
            </w:r>
          </w:p>
        </w:tc>
        <w:tc>
          <w:tcPr>
            <w:tcW w:w="2100" w:type="dxa"/>
            <w:vAlign w:val="bottom"/>
            <w:gridSpan w:val="4"/>
          </w:tcPr>
          <w:p>
            <w:pPr>
              <w:jc w:val="right"/>
              <w:ind w:right="100"/>
              <w:spacing w:after="0"/>
              <w:rPr>
                <w:sz w:val="20"/>
                <w:szCs w:val="20"/>
                <w:color w:val="auto"/>
              </w:rPr>
            </w:pPr>
            <w:r>
              <w:rPr>
                <w:rFonts w:ascii="Arial" w:cs="Arial" w:eastAsia="Arial" w:hAnsi="Arial"/>
                <w:sz w:val="18"/>
                <w:szCs w:val="18"/>
                <w:color w:val="auto"/>
              </w:rPr>
              <w:t>53,385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4.20</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53,385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609,944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 September 30, 2014</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133,932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3.94</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133,932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476,012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Borders>
              <w:top w:val="single" w:sz="8" w:color="CCEEFF"/>
            </w:tcBorders>
          </w:tcPr>
          <w:p>
            <w:pPr>
              <w:ind w:left="160"/>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230,626</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79"/>
              </w:rPr>
              <w:t>4.02</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230,626</w:t>
            </w: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40" w:type="dxa"/>
            <w:vAlign w:val="bottom"/>
            <w:gridSpan w:val="4"/>
            <w:vMerge w:val="restart"/>
          </w:tcPr>
          <w:p>
            <w:pPr>
              <w:spacing w:after="0"/>
              <w:rPr>
                <w:sz w:val="20"/>
                <w:szCs w:val="20"/>
                <w:color w:val="auto"/>
              </w:rPr>
            </w:pPr>
            <w:r>
              <w:rPr>
                <w:rFonts w:ascii="Arial" w:cs="Arial" w:eastAsia="Arial" w:hAnsi="Arial"/>
                <w:sz w:val="18"/>
                <w:szCs w:val="18"/>
                <w:color w:val="auto"/>
              </w:rPr>
              <w:t>Item 6. Exhibits</w:t>
            </w: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140" w:type="dxa"/>
            <w:vAlign w:val="bottom"/>
            <w:gridSpan w:val="4"/>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3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7880" w:type="dxa"/>
            <w:vAlign w:val="bottom"/>
            <w:gridSpan w:val="10"/>
            <w:shd w:val="clear" w:color="auto" w:fill="CCEEFF"/>
          </w:tcPr>
          <w:p>
            <w:pPr>
              <w:ind w:left="120"/>
              <w:spacing w:after="0"/>
              <w:rPr>
                <w:sz w:val="20"/>
                <w:szCs w:val="20"/>
                <w:color w:val="auto"/>
              </w:rPr>
            </w:pPr>
            <w:r>
              <w:rPr>
                <w:rFonts w:ascii="Arial" w:cs="Arial" w:eastAsia="Arial" w:hAnsi="Arial"/>
                <w:sz w:val="18"/>
                <w:szCs w:val="18"/>
                <w:color w:val="auto"/>
                <w:w w:val="92"/>
              </w:rPr>
              <w:t>Certification of the Principal Executive Officer pursuant to Section 302 of the Sarbanes-Oxley Act of 2002.</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80" w:type="dxa"/>
            <w:vAlign w:val="bottom"/>
            <w:gridSpan w:val="9"/>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7880" w:type="dxa"/>
            <w:vAlign w:val="bottom"/>
            <w:gridSpan w:val="10"/>
            <w:shd w:val="clear" w:color="auto" w:fill="CCEEFF"/>
          </w:tcPr>
          <w:p>
            <w:pPr>
              <w:ind w:left="120"/>
              <w:spacing w:after="0"/>
              <w:rPr>
                <w:sz w:val="20"/>
                <w:szCs w:val="20"/>
                <w:color w:val="auto"/>
              </w:rPr>
            </w:pPr>
            <w:r>
              <w:rPr>
                <w:rFonts w:ascii="Arial" w:cs="Arial" w:eastAsia="Arial" w:hAnsi="Arial"/>
                <w:sz w:val="18"/>
                <w:szCs w:val="18"/>
                <w:color w:val="auto"/>
                <w:w w:val="92"/>
              </w:rPr>
              <w:t>Certification of the Principal Financial Officer pursuant to Section 302 of the Sarbanes-Oxley Act of 2002.</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32.1</w:t>
            </w:r>
          </w:p>
        </w:tc>
        <w:tc>
          <w:tcPr>
            <w:tcW w:w="64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Certifications pursuant to Section 906 of the Sarbanes-Oxley Act of 2002.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XBRL Taxonomy Extension Schema.</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XBRL Taxonomy Extension Calculation Linkbase.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XBRL Taxonomy Extension Definition Linkbase.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56" w:lineRule="exact"/>
        <w:rPr>
          <w:sz w:val="20"/>
          <w:szCs w:val="20"/>
          <w:color w:val="auto"/>
        </w:rPr>
      </w:pPr>
    </w:p>
    <w:p>
      <w:pPr>
        <w:ind w:right="88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7"/>
              </w:rPr>
              <w:t>ATLANTIC AMERICAN CORPORATION</w:t>
            </w:r>
          </w:p>
        </w:tc>
        <w:tc>
          <w:tcPr>
            <w:tcW w:w="3640" w:type="dxa"/>
            <w:vAlign w:val="bottom"/>
          </w:tcPr>
          <w:p>
            <w:pPr>
              <w:spacing w:after="0"/>
              <w:rPr>
                <w:sz w:val="17"/>
                <w:szCs w:val="17"/>
                <w:color w:val="auto"/>
              </w:rPr>
            </w:pPr>
          </w:p>
        </w:tc>
      </w:tr>
      <w:tr>
        <w:trPr>
          <w:trHeight w:val="237"/>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80" w:type="dxa"/>
            <w:vAlign w:val="bottom"/>
            <w:gridSpan w:val="3"/>
          </w:tcPr>
          <w:p>
            <w:pPr>
              <w:ind w:left="620"/>
              <w:spacing w:after="0"/>
              <w:rPr>
                <w:sz w:val="20"/>
                <w:szCs w:val="20"/>
                <w:color w:val="auto"/>
              </w:rPr>
            </w:pPr>
            <w:r>
              <w:rPr>
                <w:rFonts w:ascii="Arial" w:cs="Arial" w:eastAsia="Arial" w:hAnsi="Arial"/>
                <w:sz w:val="18"/>
                <w:szCs w:val="18"/>
                <w:color w:val="auto"/>
              </w:rPr>
              <w:t>(Registrant)</w:t>
            </w:r>
          </w:p>
        </w:tc>
      </w:tr>
      <w:tr>
        <w:trPr>
          <w:trHeight w:val="392"/>
        </w:trPr>
        <w:tc>
          <w:tcPr>
            <w:tcW w:w="4580" w:type="dxa"/>
            <w:vAlign w:val="bottom"/>
            <w:gridSpan w:val="3"/>
          </w:tcPr>
          <w:p>
            <w:pPr>
              <w:spacing w:after="0"/>
              <w:rPr>
                <w:sz w:val="20"/>
                <w:szCs w:val="20"/>
                <w:color w:val="auto"/>
              </w:rPr>
            </w:pPr>
            <w:r>
              <w:rPr>
                <w:rFonts w:ascii="Arial" w:cs="Arial" w:eastAsia="Arial" w:hAnsi="Arial"/>
                <w:sz w:val="18"/>
                <w:szCs w:val="18"/>
                <w:color w:val="auto"/>
              </w:rPr>
              <w:t>Date: November 12, 2014</w:t>
            </w:r>
          </w:p>
        </w:tc>
        <w:tc>
          <w:tcPr>
            <w:tcW w:w="6840" w:type="dxa"/>
            <w:vAlign w:val="bottom"/>
            <w:gridSpan w:val="4"/>
          </w:tcPr>
          <w:p>
            <w:pPr>
              <w:spacing w:after="0"/>
              <w:rPr>
                <w:sz w:val="20"/>
                <w:szCs w:val="20"/>
                <w:color w:val="auto"/>
              </w:rPr>
            </w:pPr>
            <w:r>
              <w:rPr>
                <w:rFonts w:ascii="Arial" w:cs="Arial" w:eastAsia="Arial" w:hAnsi="Arial"/>
                <w:sz w:val="18"/>
                <w:szCs w:val="18"/>
                <w:color w:val="auto"/>
              </w:rPr>
              <w:t>By: /s/ John G. Sample, Jr.</w:t>
            </w:r>
          </w:p>
        </w:tc>
      </w:tr>
      <w:tr>
        <w:trPr>
          <w:trHeight w:val="20"/>
        </w:trPr>
        <w:tc>
          <w:tcPr>
            <w:tcW w:w="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6840" w:type="dxa"/>
            <w:vAlign w:val="bottom"/>
            <w:gridSpan w:val="4"/>
          </w:tcPr>
          <w:p>
            <w:pPr>
              <w:ind w:left="360"/>
              <w:spacing w:after="0"/>
              <w:rPr>
                <w:sz w:val="20"/>
                <w:szCs w:val="20"/>
                <w:color w:val="auto"/>
              </w:rPr>
            </w:pPr>
            <w:r>
              <w:rPr>
                <w:rFonts w:ascii="Arial" w:cs="Arial" w:eastAsia="Arial" w:hAnsi="Arial"/>
                <w:sz w:val="18"/>
                <w:szCs w:val="18"/>
                <w:color w:val="auto"/>
              </w:rPr>
              <w:t>John G. Sample, Jr.</w:t>
            </w:r>
          </w:p>
        </w:tc>
      </w:tr>
      <w:tr>
        <w:trPr>
          <w:trHeight w:val="216"/>
        </w:trPr>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840" w:type="dxa"/>
            <w:vAlign w:val="bottom"/>
            <w:gridSpan w:val="4"/>
          </w:tcPr>
          <w:p>
            <w:pPr>
              <w:ind w:left="36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840" w:type="dxa"/>
            <w:vAlign w:val="bottom"/>
            <w:gridSpan w:val="4"/>
          </w:tcPr>
          <w:p>
            <w:pPr>
              <w:ind w:left="360"/>
              <w:spacing w:after="0"/>
              <w:rPr>
                <w:sz w:val="20"/>
                <w:szCs w:val="20"/>
                <w:color w:val="auto"/>
              </w:rPr>
            </w:pPr>
            <w:r>
              <w:rPr>
                <w:rFonts w:ascii="Arial" w:cs="Arial" w:eastAsia="Arial" w:hAnsi="Arial"/>
                <w:sz w:val="18"/>
                <w:szCs w:val="18"/>
                <w:color w:val="auto"/>
              </w:rPr>
              <w:t>(Principal Financial and Accounting Officer)</w:t>
            </w:r>
          </w:p>
        </w:tc>
      </w:tr>
      <w:tr>
        <w:trPr>
          <w:trHeight w:val="596"/>
        </w:trPr>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80" w:type="dxa"/>
            <w:vAlign w:val="bottom"/>
            <w:gridSpan w:val="2"/>
          </w:tcPr>
          <w:p>
            <w:pPr>
              <w:ind w:left="1020"/>
              <w:spacing w:after="0"/>
              <w:rPr>
                <w:sz w:val="20"/>
                <w:szCs w:val="20"/>
                <w:color w:val="auto"/>
              </w:rPr>
            </w:pPr>
            <w:r>
              <w:rPr>
                <w:rFonts w:ascii="Arial" w:cs="Arial" w:eastAsia="Arial" w:hAnsi="Arial"/>
                <w:sz w:val="14"/>
                <w:szCs w:val="14"/>
                <w:color w:val="auto"/>
              </w:rPr>
              <w:t>-27-</w:t>
            </w:r>
          </w:p>
        </w:tc>
        <w:tc>
          <w:tcPr>
            <w:tcW w:w="1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6"/>
        </w:trPr>
        <w:tc>
          <w:tcPr>
            <w:tcW w:w="4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0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Number</w:t>
            </w:r>
          </w:p>
        </w:tc>
        <w:tc>
          <w:tcPr>
            <w:tcW w:w="620" w:type="dxa"/>
            <w:vAlign w:val="bottom"/>
          </w:tcPr>
          <w:p>
            <w:pPr>
              <w:spacing w:after="0"/>
              <w:rPr>
                <w:sz w:val="16"/>
                <w:szCs w:val="16"/>
                <w:color w:val="auto"/>
              </w:rPr>
            </w:pPr>
          </w:p>
        </w:tc>
        <w:tc>
          <w:tcPr>
            <w:tcW w:w="100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160" w:type="dxa"/>
            <w:vAlign w:val="bottom"/>
            <w:shd w:val="clear" w:color="auto" w:fill="CCEEFF"/>
          </w:tcPr>
          <w:p>
            <w:pPr>
              <w:spacing w:after="0"/>
              <w:rPr>
                <w:sz w:val="17"/>
                <w:szCs w:val="17"/>
                <w:color w:val="auto"/>
              </w:rPr>
            </w:pPr>
          </w:p>
        </w:tc>
        <w:tc>
          <w:tcPr>
            <w:tcW w:w="106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160" w:type="dxa"/>
            <w:vAlign w:val="bottom"/>
            <w:shd w:val="clear" w:color="auto" w:fill="CCEEFF"/>
          </w:tcPr>
          <w:p>
            <w:pPr>
              <w:spacing w:after="0"/>
              <w:rPr>
                <w:sz w:val="17"/>
                <w:szCs w:val="17"/>
                <w:color w:val="auto"/>
              </w:rPr>
            </w:pPr>
          </w:p>
        </w:tc>
        <w:tc>
          <w:tcPr>
            <w:tcW w:w="106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160" w:type="dxa"/>
            <w:vAlign w:val="bottom"/>
            <w:shd w:val="clear" w:color="auto" w:fill="CCEEFF"/>
          </w:tcPr>
          <w:p>
            <w:pPr>
              <w:spacing w:after="0"/>
              <w:rPr>
                <w:sz w:val="17"/>
                <w:szCs w:val="17"/>
                <w:color w:val="auto"/>
              </w:rPr>
            </w:pPr>
          </w:p>
        </w:tc>
        <w:tc>
          <w:tcPr>
            <w:tcW w:w="106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Certifications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20" w:type="dxa"/>
            <w:vAlign w:val="bottom"/>
            <w:gridSpan w:val="3"/>
          </w:tcPr>
          <w:p>
            <w:pPr>
              <w:ind w:left="480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6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Hilton H. Howell, Jr., certify that:</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report on Form 10-Q of Atlantic American Corporation;</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140" w:right="100" w:hanging="322"/>
        <w:spacing w:after="0" w:line="264"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140" w:right="540" w:hanging="322"/>
        <w:spacing w:after="0" w:line="342" w:lineRule="auto"/>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100" w:hanging="322"/>
        <w:spacing w:after="0" w:line="264"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140" w:right="20" w:hanging="322"/>
        <w:spacing w:after="0" w:line="308" w:lineRule="auto"/>
        <w:tabs>
          <w:tab w:leader="none" w:pos="114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540" w:hanging="322"/>
        <w:spacing w:after="0" w:line="277"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tabs>
          <w:tab w:leader="none" w:pos="7460" w:val="left"/>
        </w:tabs>
        <w:rPr>
          <w:sz w:val="20"/>
          <w:szCs w:val="20"/>
          <w:color w:val="auto"/>
        </w:rPr>
      </w:pPr>
      <w:r>
        <w:rPr>
          <w:rFonts w:ascii="Arial" w:cs="Arial" w:eastAsia="Arial" w:hAnsi="Arial"/>
          <w:sz w:val="18"/>
          <w:szCs w:val="18"/>
          <w:color w:val="auto"/>
        </w:rPr>
        <w:t>Date: November 12, 2014</w:t>
      </w:r>
      <w:r>
        <w:rPr>
          <w:sz w:val="20"/>
          <w:szCs w:val="20"/>
          <w:color w:val="auto"/>
        </w:rPr>
        <w:tab/>
      </w:r>
      <w:r>
        <w:rPr>
          <w:rFonts w:ascii="Arial" w:cs="Arial" w:eastAsia="Arial" w:hAnsi="Arial"/>
          <w:sz w:val="17"/>
          <w:szCs w:val="17"/>
          <w:color w:val="auto"/>
        </w:rPr>
        <w:t>/s/ Hilton H.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23495</wp:posOffset>
            </wp:positionV>
            <wp:extent cx="248729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87295"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23495</wp:posOffset>
            </wp:positionV>
            <wp:extent cx="12179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17930" cy="17145"/>
                    </a:xfrm>
                    <a:prstGeom prst="rect">
                      <a:avLst/>
                    </a:prstGeom>
                    <a:noFill/>
                  </pic:spPr>
                </pic:pic>
              </a:graphicData>
            </a:graphic>
          </wp:anchor>
        </w:drawing>
      </w:r>
    </w:p>
    <w:p>
      <w:pPr>
        <w:spacing w:after="0" w:line="30"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Hilton H. Howell, Jr.</w:t>
      </w:r>
    </w:p>
    <w:p>
      <w:pPr>
        <w:spacing w:after="0" w:line="23"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G. Sample, Jr., certify that:</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report on Form 10-Q of Atlantic American Corporation;</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140" w:right="100" w:hanging="322"/>
        <w:spacing w:after="0" w:line="264"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140" w:right="540" w:hanging="322"/>
        <w:spacing w:after="0" w:line="342" w:lineRule="auto"/>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100" w:hanging="322"/>
        <w:spacing w:after="0" w:line="264"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140" w:right="20" w:hanging="322"/>
        <w:spacing w:after="0" w:line="308" w:lineRule="auto"/>
        <w:tabs>
          <w:tab w:leader="none" w:pos="114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540" w:hanging="322"/>
        <w:spacing w:after="0" w:line="277"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80"/>
        <w:spacing w:after="0"/>
        <w:tabs>
          <w:tab w:leader="none" w:pos="7460" w:val="left"/>
        </w:tabs>
        <w:rPr>
          <w:sz w:val="20"/>
          <w:szCs w:val="20"/>
          <w:color w:val="auto"/>
        </w:rPr>
      </w:pPr>
      <w:r>
        <w:rPr>
          <w:rFonts w:ascii="Arial" w:cs="Arial" w:eastAsia="Arial" w:hAnsi="Arial"/>
          <w:sz w:val="18"/>
          <w:szCs w:val="18"/>
          <w:color w:val="auto"/>
        </w:rPr>
        <w:t>Date: November 12, 2014</w:t>
      </w:r>
      <w:r>
        <w:rPr>
          <w:sz w:val="20"/>
          <w:szCs w:val="20"/>
          <w:color w:val="auto"/>
        </w:rPr>
        <w:tab/>
      </w:r>
      <w:r>
        <w:rPr>
          <w:rFonts w:ascii="Arial" w:cs="Arial" w:eastAsia="Arial" w:hAnsi="Arial"/>
          <w:sz w:val="15"/>
          <w:szCs w:val="15"/>
          <w:color w:val="auto"/>
        </w:rPr>
        <w:t>/s/ John G. Sample,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25298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14605</wp:posOffset>
            </wp:positionV>
            <wp:extent cx="13119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1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John G. Sample, Jr.</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Certifications Pursuant to Section 906 of the Sarbanes-Oxley Act of 2002</w:t>
      </w:r>
    </w:p>
    <w:p>
      <w:pPr>
        <w:spacing w:after="0" w:line="252" w:lineRule="exact"/>
        <w:rPr>
          <w:sz w:val="20"/>
          <w:szCs w:val="20"/>
          <w:color w:val="auto"/>
        </w:rPr>
      </w:pPr>
    </w:p>
    <w:p>
      <w:pPr>
        <w:ind w:right="400" w:firstLine="972"/>
        <w:spacing w:after="0" w:line="259" w:lineRule="auto"/>
        <w:rPr>
          <w:sz w:val="20"/>
          <w:szCs w:val="20"/>
          <w:color w:val="auto"/>
        </w:rPr>
      </w:pPr>
      <w:r>
        <w:rPr>
          <w:rFonts w:ascii="Arial" w:cs="Arial" w:eastAsia="Arial" w:hAnsi="Arial"/>
          <w:sz w:val="18"/>
          <w:szCs w:val="18"/>
          <w:color w:val="auto"/>
        </w:rPr>
        <w:t>Pursuant to 18 U.S.C. §1350, as adopted pursuant to Section 906 of the Sarbanes-Oxley Act of 2002, in connection with the filing of the Quarterly Report on Form 10-Q of Atlantic American Corporation (the “Company”) for the quarterly period ended September 30, 2014, as filed with the Securities and Exchange Commission on the date hereof (the “Report”), each of the undersigned officers of the Company certifies, that, to such officer’s knowledge:</w:t>
      </w:r>
    </w:p>
    <w:p>
      <w:pPr>
        <w:spacing w:after="0" w:line="214"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52"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ind w:left="920"/>
        <w:spacing w:after="0"/>
        <w:tabs>
          <w:tab w:leader="none" w:pos="628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12, 2014</w:t>
      </w:r>
      <w:r>
        <w:rPr>
          <w:sz w:val="20"/>
          <w:szCs w:val="20"/>
          <w:color w:val="auto"/>
        </w:rPr>
        <w:tab/>
      </w:r>
      <w:r>
        <w:rPr>
          <w:rFonts w:ascii="Arial" w:cs="Arial" w:eastAsia="Arial" w:hAnsi="Arial"/>
          <w:sz w:val="17"/>
          <w:szCs w:val="17"/>
          <w:color w:val="auto"/>
        </w:rPr>
        <w:t>/s/ Hilton H.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23495</wp:posOffset>
            </wp:positionV>
            <wp:extent cx="25298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Hilton H. Howell, Jr.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ind w:left="920"/>
        <w:spacing w:after="0"/>
        <w:tabs>
          <w:tab w:leader="none" w:pos="628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12, 2014</w:t>
      </w:r>
      <w:r>
        <w:rPr>
          <w:sz w:val="20"/>
          <w:szCs w:val="20"/>
          <w:color w:val="auto"/>
        </w:rPr>
        <w:tab/>
      </w:r>
      <w:r>
        <w:rPr>
          <w:rFonts w:ascii="Arial" w:cs="Arial" w:eastAsia="Arial" w:hAnsi="Arial"/>
          <w:sz w:val="15"/>
          <w:szCs w:val="15"/>
          <w:color w:val="auto"/>
        </w:rPr>
        <w:t>/s/ John G. Sample,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23495</wp:posOffset>
            </wp:positionV>
            <wp:extent cx="25298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John G. Sample, Jr.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right="40" w:firstLine="972"/>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2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2019-12-05T03:11:12Z</dcterms:created>
  <dcterms:modified xsi:type="dcterms:W3CDTF">2019-12-05T03:11:12Z</dcterms:modified>
</cp:coreProperties>
</file>