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3985_10ka.htm"/>
      <w:bookmarkStart w:id="1" w:name="ksef20083985_10ka"/>
      <w:bookmarkStart w:id="2" w:name="ef20083985_10ka.htm"/>
      <w:bookmarkStart w:id="3" w:name="ksef20083985_10ka"/>
      <w:bookmarkEnd w:id="2"/>
      <w:bookmarkEnd w:id="3"/>
    </w:p>
    <w:p>
      <w:pPr>
        <w:pStyle w:val="TextBody"/>
        <w:bidi w:val="0"/>
        <w:spacing w:before="0" w:after="0"/>
        <w:jc w:val="center"/>
        <w:rPr>
          <w:rFonts w:ascii="Times New Roman" w:hAnsi="Times New Roman"/>
          <w:b/>
          <w:sz w:val="28"/>
        </w:rPr>
      </w:pPr>
      <w:r>
        <w:rPr>
          <w:rFonts w:ascii="Times New Roman" w:hAnsi="Times New Roman"/>
          <w:b/>
          <w:sz w:val="28"/>
        </w:rPr>
        <w:t>UNITED STATES</w:t>
      </w:r>
    </w:p>
    <w:p>
      <w:pPr>
        <w:pStyle w:val="TextBody"/>
        <w:bidi w:val="0"/>
        <w:spacing w:before="0" w:after="0"/>
        <w:jc w:val="center"/>
        <w:rPr>
          <w:rFonts w:ascii="Times New Roman" w:hAnsi="Times New Roman"/>
          <w:b/>
          <w:sz w:val="28"/>
        </w:rPr>
      </w:pPr>
      <w:r>
        <w:rPr>
          <w:rFonts w:ascii="Times New Roman" w:hAnsi="Times New Roman"/>
          <w:b/>
          <w:sz w:val="28"/>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sz w:val="36"/>
        </w:rPr>
      </w:pPr>
      <w:r>
        <w:rPr>
          <w:rFonts w:ascii="Times New Roman" w:hAnsi="Times New Roman"/>
          <w:b/>
          <w:sz w:val="36"/>
        </w:rPr>
        <w:t>FORM 10-K/A</w:t>
      </w:r>
    </w:p>
    <w:p>
      <w:pPr>
        <w:pStyle w:val="TextBody"/>
        <w:bidi w:val="0"/>
        <w:spacing w:before="0" w:after="0"/>
        <w:jc w:val="center"/>
        <w:rPr>
          <w:rFonts w:ascii="Times New Roman" w:hAnsi="Times New Roman"/>
          <w:b/>
          <w:sz w:val="20"/>
        </w:rPr>
      </w:pPr>
      <w:r>
        <w:rPr>
          <w:rFonts w:ascii="Times New Roman" w:hAnsi="Times New Roman"/>
          <w:b/>
          <w:sz w:val="20"/>
        </w:rPr>
        <w:t>(Amendment No. 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43b8ce4530b6433aa5913e2f0e1fca21"/>
      <w:bookmarkStart w:id="5" w:name="z43b8ce4530b6433aa5913e2f0e1fca21"/>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0"/>
              <w:jc w:val="both"/>
              <w:rPr>
                <w:b/>
              </w:rPr>
            </w:pPr>
            <w:r>
              <w:rPr>
                <w:b/>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 the fiscal year ended </w:t>
      </w:r>
      <w:r>
        <w:rPr>
          <w:rFonts w:ascii="Times New Roman" w:hAnsi="Times New Roman"/>
          <w:b/>
          <w:sz w:val="20"/>
          <w:u w:val="single"/>
        </w:rPr>
        <w:t>December 31, 2025</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or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d419ebed290b4203816e0dc511c3962c"/>
      <w:bookmarkStart w:id="7" w:name="zd419ebed290b4203816e0dc511c3962c"/>
      <w:bookmarkEnd w:id="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0"/>
              <w:jc w:val="both"/>
              <w:rPr>
                <w:b/>
              </w:rPr>
            </w:pPr>
            <w:r>
              <w:rPr>
                <w:b/>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Commission file number </w:t>
      </w:r>
      <w:r>
        <w:rPr>
          <w:rFonts w:ascii="Times New Roman" w:hAnsi="Times New Roman"/>
          <w:b/>
          <w:sz w:val="20"/>
          <w:u w:val="single"/>
        </w:rPr>
        <w:t>0-3722</w:t>
      </w:r>
    </w:p>
    <w:p>
      <w:pPr>
        <w:pStyle w:val="TextBody"/>
        <w:bidi w:val="0"/>
        <w:spacing w:before="0" w:after="0"/>
        <w:jc w:val="left"/>
        <w:rPr/>
      </w:pPr>
      <w:r>
        <w:rPr/>
      </w:r>
    </w:p>
    <w:p>
      <w:pPr>
        <w:pStyle w:val="TextBody"/>
        <w:bidi w:val="0"/>
        <w:spacing w:before="0" w:after="0"/>
        <w:jc w:val="center"/>
        <w:rPr>
          <w:rFonts w:ascii="Times New Roman" w:hAnsi="Times New Roman"/>
          <w:b/>
          <w:sz w:val="48"/>
        </w:rPr>
      </w:pPr>
      <w:r>
        <w:rPr>
          <w:rFonts w:ascii="Times New Roman" w:hAnsi="Times New Roman"/>
          <w:b/>
          <w:sz w:val="48"/>
        </w:rPr>
        <w:t>ATLANTIC AMERICAN CORPORATION</w:t>
      </w:r>
    </w:p>
    <w:p>
      <w:pPr>
        <w:pStyle w:val="TextBody"/>
        <w:bidi w:val="0"/>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b894d93eea994055a47128ac5a42300a"/>
      <w:bookmarkStart w:id="9" w:name="zb894d93eea994055a47128ac5a42300a"/>
      <w:bookmarkEnd w:id="9"/>
    </w:p>
    <w:tbl>
      <w:tblPr>
        <w:tblW w:w="9220" w:type="dxa"/>
        <w:jc w:val="left"/>
        <w:tblInd w:w="0" w:type="dxa"/>
        <w:tblLayout w:type="fixed"/>
        <w:tblCellMar>
          <w:top w:w="0" w:type="dxa"/>
          <w:left w:w="0" w:type="dxa"/>
          <w:bottom w:w="0" w:type="dxa"/>
          <w:right w:w="0" w:type="dxa"/>
        </w:tblCellMar>
      </w:tblPr>
      <w:tblGrid>
        <w:gridCol w:w="5630"/>
        <w:gridCol w:w="90"/>
        <w:gridCol w:w="3500"/>
      </w:tblGrid>
      <w:tr>
        <w:trPr/>
        <w:tc>
          <w:tcPr>
            <w:tcW w:w="5630" w:type="dxa"/>
            <w:tcBorders/>
            <w:vAlign w:val="center"/>
          </w:tcPr>
          <w:p>
            <w:pPr>
              <w:pStyle w:val="TableContents"/>
              <w:bidi w:val="0"/>
              <w:spacing w:before="0" w:after="0"/>
              <w:jc w:val="center"/>
              <w:rPr>
                <w:b/>
              </w:rPr>
            </w:pPr>
            <w:r>
              <w:rPr>
                <w:b/>
              </w:rPr>
              <w:t>Georgia</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b/>
              </w:rPr>
            </w:pPr>
            <w:r>
              <w:rPr>
                <w:b/>
              </w:rPr>
              <w:t>58-1027114</w:t>
            </w:r>
          </w:p>
        </w:tc>
      </w:tr>
      <w:tr>
        <w:trPr/>
        <w:tc>
          <w:tcPr>
            <w:tcW w:w="5630" w:type="dxa"/>
            <w:tcBorders/>
            <w:vAlign w:val="center"/>
          </w:tcPr>
          <w:p>
            <w:pPr>
              <w:pStyle w:val="TableContents"/>
              <w:bidi w:val="0"/>
              <w:spacing w:before="0" w:after="0"/>
              <w:jc w:val="center"/>
              <w:rPr/>
            </w:pPr>
            <w:r>
              <w:rPr/>
              <w:t>(State or other jurisdiction of incorporation or organization)</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pPr>
            <w:r>
              <w:rPr/>
              <w:t>(I.R.S. Employer Identification No.)</w:t>
            </w:r>
          </w:p>
        </w:tc>
      </w:tr>
      <w:tr>
        <w:trPr/>
        <w:tc>
          <w:tcPr>
            <w:tcW w:w="5630" w:type="dxa"/>
            <w:tcBorders/>
            <w:vAlign w:val="center"/>
          </w:tcPr>
          <w:p>
            <w:pPr>
              <w:pStyle w:val="TableContents"/>
              <w:bidi w:val="0"/>
              <w:spacing w:before="0" w:after="0"/>
              <w:jc w:val="center"/>
              <w:rPr>
                <w:b/>
              </w:rPr>
            </w:pPr>
            <w:r>
              <w:rPr>
                <w:b/>
              </w:rPr>
              <w:t>4370 Peachtree Road, N.E.,</w:t>
            </w:r>
          </w:p>
          <w:p>
            <w:pPr>
              <w:pStyle w:val="TableContents"/>
              <w:bidi w:val="0"/>
              <w:spacing w:before="0" w:after="0"/>
              <w:jc w:val="center"/>
              <w:rPr>
                <w:b/>
              </w:rPr>
            </w:pPr>
            <w:r>
              <w:rPr>
                <w:b/>
              </w:rPr>
              <w:t>Atlanta, Georgia</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b/>
              </w:rPr>
            </w:pPr>
            <w:r>
              <w:rPr>
                <w:b/>
              </w:rPr>
              <w:t>30319</w:t>
            </w:r>
          </w:p>
        </w:tc>
      </w:tr>
      <w:tr>
        <w:trPr/>
        <w:tc>
          <w:tcPr>
            <w:tcW w:w="5630" w:type="dxa"/>
            <w:tcBorders/>
            <w:vAlign w:val="center"/>
          </w:tcPr>
          <w:p>
            <w:pPr>
              <w:pStyle w:val="TableContents"/>
              <w:bidi w:val="0"/>
              <w:spacing w:before="0" w:after="0"/>
              <w:jc w:val="center"/>
              <w:rPr/>
            </w:pPr>
            <w:r>
              <w:rPr/>
              <w:t>(Address of principal executive offices)</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pPr>
            <w:r>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telephone number, including area code) </w:t>
      </w:r>
      <w:r>
        <w:rPr>
          <w:rFonts w:ascii="Times New Roman" w:hAnsi="Times New Roman"/>
          <w:b/>
          <w:sz w:val="20"/>
          <w:u w:val="single"/>
        </w:rPr>
        <w:t>(404) 266-5500</w:t>
      </w:r>
    </w:p>
    <w:p>
      <w:pPr>
        <w:pStyle w:val="TextBody"/>
        <w:bidi w:val="0"/>
        <w:spacing w:before="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05f0aa5309cc4efba69f70cb15fadca1"/>
      <w:bookmarkStart w:id="11" w:name="z05f0aa5309cc4efba69f70cb15fadca1"/>
      <w:bookmarkEnd w:id="11"/>
    </w:p>
    <w:tbl>
      <w:tblPr>
        <w:tblW w:w="10205" w:type="dxa"/>
        <w:jc w:val="left"/>
        <w:tblInd w:w="0" w:type="dxa"/>
        <w:tblLayout w:type="fixed"/>
        <w:tblCellMar>
          <w:top w:w="0" w:type="dxa"/>
          <w:left w:w="0" w:type="dxa"/>
          <w:bottom w:w="0" w:type="dxa"/>
          <w:right w:w="0" w:type="dxa"/>
        </w:tblCellMar>
      </w:tblPr>
      <w:tblGrid>
        <w:gridCol w:w="4070"/>
        <w:gridCol w:w="1873"/>
        <w:gridCol w:w="4262"/>
      </w:tblGrid>
      <w:tr>
        <w:trPr/>
        <w:tc>
          <w:tcPr>
            <w:tcW w:w="4070" w:type="dxa"/>
            <w:tcBorders/>
            <w:vAlign w:val="center"/>
          </w:tcPr>
          <w:p>
            <w:pPr>
              <w:pStyle w:val="TableContents"/>
              <w:bidi w:val="0"/>
              <w:spacing w:before="0" w:after="0"/>
              <w:jc w:val="center"/>
              <w:rPr>
                <w:b/>
                <w:u w:val="single"/>
              </w:rPr>
            </w:pPr>
            <w:r>
              <w:rPr>
                <w:b/>
                <w:u w:val="single"/>
              </w:rPr>
              <w:t>Title of each class</w:t>
            </w:r>
          </w:p>
        </w:tc>
        <w:tc>
          <w:tcPr>
            <w:tcW w:w="1873" w:type="dxa"/>
            <w:tcBorders/>
            <w:vAlign w:val="center"/>
          </w:tcPr>
          <w:p>
            <w:pPr>
              <w:pStyle w:val="TableContents"/>
              <w:bidi w:val="0"/>
              <w:spacing w:before="0" w:after="0"/>
              <w:jc w:val="center"/>
              <w:rPr>
                <w:b/>
                <w:u w:val="single"/>
              </w:rPr>
            </w:pPr>
            <w:r>
              <w:rPr>
                <w:b/>
                <w:u w:val="single"/>
              </w:rPr>
              <w:t>Trading Symbol(s)</w:t>
            </w:r>
          </w:p>
        </w:tc>
        <w:tc>
          <w:tcPr>
            <w:tcW w:w="4262" w:type="dxa"/>
            <w:tcBorders/>
            <w:vAlign w:val="center"/>
          </w:tcPr>
          <w:p>
            <w:pPr>
              <w:pStyle w:val="TableContents"/>
              <w:bidi w:val="0"/>
              <w:spacing w:before="0" w:after="0"/>
              <w:jc w:val="center"/>
              <w:rPr>
                <w:b/>
                <w:u w:val="single"/>
              </w:rPr>
            </w:pPr>
            <w:r>
              <w:rPr>
                <w:b/>
                <w:u w:val="single"/>
              </w:rPr>
              <w:t>Name of each exchange on which registered</w:t>
            </w:r>
          </w:p>
        </w:tc>
      </w:tr>
      <w:tr>
        <w:trPr/>
        <w:tc>
          <w:tcPr>
            <w:tcW w:w="4070" w:type="dxa"/>
            <w:tcBorders/>
            <w:vAlign w:val="center"/>
          </w:tcPr>
          <w:p>
            <w:pPr>
              <w:pStyle w:val="TableContents"/>
              <w:bidi w:val="0"/>
              <w:spacing w:before="0" w:after="0"/>
              <w:jc w:val="center"/>
              <w:rPr>
                <w:b/>
              </w:rPr>
            </w:pPr>
            <w:r>
              <w:rPr>
                <w:b/>
              </w:rPr>
              <w:t>Common Stock, par value $1.00 per share</w:t>
            </w:r>
          </w:p>
        </w:tc>
        <w:tc>
          <w:tcPr>
            <w:tcW w:w="1873" w:type="dxa"/>
            <w:tcBorders/>
            <w:vAlign w:val="center"/>
          </w:tcPr>
          <w:p>
            <w:pPr>
              <w:pStyle w:val="TableContents"/>
              <w:bidi w:val="0"/>
              <w:spacing w:before="0" w:after="0"/>
              <w:jc w:val="center"/>
              <w:rPr>
                <w:b/>
              </w:rPr>
            </w:pPr>
            <w:r>
              <w:rPr>
                <w:b/>
              </w:rPr>
              <w:t>AAME</w:t>
            </w:r>
          </w:p>
        </w:tc>
        <w:tc>
          <w:tcPr>
            <w:tcW w:w="4262" w:type="dxa"/>
            <w:tcBorders/>
            <w:vAlign w:val="center"/>
          </w:tcPr>
          <w:p>
            <w:pPr>
              <w:pStyle w:val="TableContents"/>
              <w:bidi w:val="0"/>
              <w:spacing w:before="0" w:after="0"/>
              <w:jc w:val="center"/>
              <w:rPr>
                <w:b/>
              </w:rPr>
            </w:pPr>
            <w:r>
              <w:rPr>
                <w:b/>
              </w:rPr>
              <w:t>NASDAQ Global Market</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Securities registered pursuant to Section 12(g) of the Act</w:t>
      </w:r>
      <w:r>
        <w:rPr>
          <w:rFonts w:ascii="Times New Roman" w:hAnsi="Times New Roman"/>
          <w:sz w:val="20"/>
        </w:rPr>
        <w:t>:</w:t>
      </w:r>
    </w:p>
    <w:p>
      <w:pPr>
        <w:pStyle w:val="TextBody"/>
        <w:bidi w:val="0"/>
        <w:spacing w:before="0" w:after="0"/>
        <w:jc w:val="center"/>
        <w:rPr>
          <w:rFonts w:ascii="Times New Roman" w:hAnsi="Times New Roman"/>
          <w:b/>
          <w:sz w:val="20"/>
        </w:rPr>
      </w:pPr>
      <w:r>
        <w:rPr>
          <w:rFonts w:ascii="Times New Roman" w:hAnsi="Times New Roman"/>
          <w:b/>
          <w:sz w:val="20"/>
        </w:rPr>
        <w:t>None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b624dd57de054a0b96431e7af4362d36"/>
      <w:bookmarkStart w:id="13" w:name="zb624dd57de054a0b96431e7af4362d36"/>
      <w:bookmarkEnd w:id="13"/>
    </w:p>
    <w:tbl>
      <w:tblPr>
        <w:tblW w:w="10205" w:type="dxa"/>
        <w:jc w:val="left"/>
        <w:tblInd w:w="0" w:type="dxa"/>
        <w:tblLayout w:type="fixed"/>
        <w:tblCellMar>
          <w:top w:w="0" w:type="dxa"/>
          <w:left w:w="0" w:type="dxa"/>
          <w:bottom w:w="0" w:type="dxa"/>
          <w:right w:w="0" w:type="dxa"/>
        </w:tblCellMar>
      </w:tblPr>
      <w:tblGrid>
        <w:gridCol w:w="1971"/>
        <w:gridCol w:w="1640"/>
        <w:gridCol w:w="2060"/>
        <w:gridCol w:w="2216"/>
        <w:gridCol w:w="2318"/>
      </w:tblGrid>
      <w:tr>
        <w:trPr/>
        <w:tc>
          <w:tcPr>
            <w:tcW w:w="1971" w:type="dxa"/>
            <w:tcBorders/>
            <w:vAlign w:val="center"/>
          </w:tcPr>
          <w:p>
            <w:pPr>
              <w:pStyle w:val="TableContents"/>
              <w:bidi w:val="0"/>
              <w:spacing w:before="0" w:after="0"/>
              <w:jc w:val="left"/>
              <w:rPr/>
            </w:pPr>
            <w:r>
              <w:rPr/>
              <w:t>Large accelerated filer ☐</w:t>
            </w:r>
          </w:p>
        </w:tc>
        <w:tc>
          <w:tcPr>
            <w:tcW w:w="1640" w:type="dxa"/>
            <w:tcBorders/>
            <w:vAlign w:val="center"/>
          </w:tcPr>
          <w:p>
            <w:pPr>
              <w:pStyle w:val="TableContents"/>
              <w:bidi w:val="0"/>
              <w:spacing w:before="0" w:after="0"/>
              <w:jc w:val="left"/>
              <w:rPr/>
            </w:pPr>
            <w:r>
              <w:rPr/>
              <w:t>Accelerated filer ☐</w:t>
            </w:r>
          </w:p>
        </w:tc>
        <w:tc>
          <w:tcPr>
            <w:tcW w:w="2060" w:type="dxa"/>
            <w:tcBorders/>
            <w:vAlign w:val="center"/>
          </w:tcPr>
          <w:p>
            <w:pPr>
              <w:pStyle w:val="TableContents"/>
              <w:bidi w:val="0"/>
              <w:spacing w:before="0" w:after="0"/>
              <w:jc w:val="left"/>
              <w:rPr/>
            </w:pPr>
            <w:r>
              <w:rPr/>
              <w:t>Non-accelerated filer ☒</w:t>
            </w:r>
          </w:p>
        </w:tc>
        <w:tc>
          <w:tcPr>
            <w:tcW w:w="2216" w:type="dxa"/>
            <w:tcBorders/>
            <w:vAlign w:val="center"/>
          </w:tcPr>
          <w:p>
            <w:pPr>
              <w:pStyle w:val="TableContents"/>
              <w:bidi w:val="0"/>
              <w:spacing w:before="0" w:after="0"/>
              <w:jc w:val="left"/>
              <w:rPr/>
            </w:pPr>
            <w:r>
              <w:rPr/>
              <w:t>Smaller reporting company ☒</w:t>
            </w:r>
          </w:p>
        </w:tc>
        <w:tc>
          <w:tcPr>
            <w:tcW w:w="2318" w:type="dxa"/>
            <w:tcBorders/>
            <w:vAlign w:val="center"/>
          </w:tcPr>
          <w:p>
            <w:pPr>
              <w:pStyle w:val="TableContents"/>
              <w:bidi w:val="0"/>
              <w:spacing w:before="0" w:after="0"/>
              <w:jc w:val="left"/>
              <w:rPr/>
            </w:pPr>
            <w:r>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sz w:val="24"/>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w:t>
      </w:r>
      <w:r>
        <w:rPr>
          <w:rFonts w:ascii="Times New Roman" w:hAnsi="Times New Roman"/>
          <w:sz w:val="20"/>
          <w:shd w:fill="FFFFFF" w:val="clear"/>
        </w:rPr>
        <w:t>to §240.10D-1(b).</w:t>
      </w:r>
      <w:r>
        <w:rPr>
          <w:rFonts w:ascii="Times New Roman" w:hAnsi="Times New Roman"/>
          <w:sz w:val="24"/>
          <w:shd w:fill="FFFFFF" w:val="clear"/>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t>The aggregate market value of common stock held by non-affiliates of the registrant as of June 30, 2025 was $8,591,319. For purposes hereof, beneficial ownership is determined under rules adopted pursuant to Section 13 of the Securities Exchange Act of 1934, and the foregoing excludes value ascribed to common stock that may be deemed beneficially owned by the directors and executive officers, and 10% or greater stockholders, of the registrant, some of whom may not be deemed to be affiliates upon judicial determination. On October 1, 2026, there were 20,397,228 shares of the registrant’s common stock, par value $1.00 per share, outstanding.</w:t>
      </w:r>
    </w:p>
    <w:p>
      <w:pPr>
        <w:pStyle w:val="TextBody"/>
        <w:bidi w:val="0"/>
        <w:spacing w:before="0" w:after="0"/>
        <w:jc w:val="both"/>
        <w:rPr/>
      </w:pPr>
      <w:r>
        <w:rPr/>
        <w:t> </w:t>
      </w:r>
    </w:p>
    <w:p>
      <w:pPr>
        <w:pStyle w:val="TextBody"/>
        <w:bidi w:val="0"/>
        <w:spacing w:before="0" w:after="0"/>
        <w:jc w:val="center"/>
        <w:rPr>
          <w:rFonts w:ascii="Times New Roman" w:hAnsi="Times New Roman"/>
          <w:b/>
          <w:sz w:val="20"/>
        </w:rPr>
      </w:pPr>
      <w:r>
        <w:rPr>
          <w:rFonts w:ascii="Times New Roman" w:hAnsi="Times New Roman"/>
          <w:b/>
          <w:sz w:val="20"/>
        </w:rPr>
        <w:t>DOCUMENTS INCORPORATED BY REFERENCE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None.</w:t>
      </w:r>
    </w:p>
    <w:p>
      <w:pPr>
        <w:pStyle w:val="TextBody"/>
        <w:bidi w:val="0"/>
        <w:spacing w:before="0" w:after="0"/>
        <w:jc w:val="left"/>
        <w:rPr/>
      </w:pPr>
      <w:r>
        <w:rPr/>
      </w:r>
    </w:p>
    <w:p>
      <w:pPr>
        <w:pStyle w:val="HorizontalLine"/>
        <w:bidi w:val="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center"/>
        <w:rPr>
          <w:rFonts w:ascii="Times New Roman" w:hAnsi="Times New Roman"/>
          <w:b/>
          <w:sz w:val="20"/>
        </w:rPr>
      </w:pPr>
      <w:bookmarkStart w:id="14" w:name="TABLE_OF_CONTENTS"/>
      <w:bookmarkEnd w:id="14"/>
      <w:r>
        <w:rPr>
          <w:rFonts w:ascii="Times New Roman" w:hAnsi="Times New Roman"/>
          <w:b/>
          <w:sz w:val="20"/>
        </w:rPr>
        <w:t>TABLE OF CONTENTS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 w:name="z29f58474b081461ab231ca39db50c28b"/>
      <w:bookmarkStart w:id="16" w:name="z29f58474b081461ab231ca39db50c28b"/>
      <w:bookmarkEnd w:id="16"/>
    </w:p>
    <w:tbl>
      <w:tblPr>
        <w:tblW w:w="10205" w:type="dxa"/>
        <w:jc w:val="left"/>
        <w:tblInd w:w="0" w:type="dxa"/>
        <w:tblLayout w:type="fixed"/>
        <w:tblCellMar>
          <w:top w:w="0" w:type="dxa"/>
          <w:left w:w="0" w:type="dxa"/>
          <w:bottom w:w="0" w:type="dxa"/>
          <w:right w:w="0" w:type="dxa"/>
        </w:tblCellMar>
      </w:tblPr>
      <w:tblGrid>
        <w:gridCol w:w="1187"/>
        <w:gridCol w:w="8442"/>
        <w:gridCol w:w="576"/>
      </w:tblGrid>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bottom w:val="single" w:sz="12" w:space="0" w:color="000000"/>
            </w:tcBorders>
            <w:tcMar>
              <w:bottom w:w="28" w:type="dxa"/>
            </w:tcMar>
            <w:vAlign w:val="center"/>
          </w:tcPr>
          <w:p>
            <w:pPr>
              <w:pStyle w:val="TableContents"/>
              <w:bidi w:val="0"/>
              <w:spacing w:before="0" w:after="0"/>
              <w:jc w:val="center"/>
              <w:rPr>
                <w:b/>
              </w:rPr>
            </w:pPr>
            <w:r>
              <w:rPr>
                <w:b/>
              </w:rPr>
              <w:t>Page</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EXPLANATORYNOTE">
              <w:r>
                <w:rPr>
                  <w:rStyle w:val="InternetLink"/>
                </w:rPr>
                <w:t>Explanatory Note</w:t>
              </w:r>
            </w:hyperlink>
          </w:p>
        </w:tc>
        <w:tc>
          <w:tcPr>
            <w:tcW w:w="576" w:type="dxa"/>
            <w:tcBorders/>
            <w:shd w:fill="CCEEFF" w:val="clear"/>
            <w:vAlign w:val="center"/>
          </w:tcPr>
          <w:p>
            <w:pPr>
              <w:pStyle w:val="TableContents"/>
              <w:bidi w:val="0"/>
              <w:spacing w:before="0" w:after="283"/>
              <w:jc w:val="right"/>
              <w:rPr/>
            </w:pPr>
            <w:r>
              <w:rPr/>
              <w:t>1</w:t>
            </w:r>
          </w:p>
        </w:tc>
      </w:tr>
      <w:tr>
        <w:trPr/>
        <w:tc>
          <w:tcPr>
            <w:tcW w:w="1187" w:type="dxa"/>
            <w:tcBorders/>
            <w:vAlign w:val="center"/>
          </w:tcPr>
          <w:p>
            <w:pPr>
              <w:pStyle w:val="TableContents"/>
              <w:bidi w:val="0"/>
              <w:spacing w:before="0" w:after="0"/>
              <w:jc w:val="left"/>
              <w:rPr>
                <w:b/>
              </w:rPr>
            </w:pPr>
            <w:r>
              <w:rPr>
                <w:b/>
              </w:rPr>
              <w:t>PART I</w:t>
            </w:r>
          </w:p>
        </w:tc>
        <w:tc>
          <w:tcPr>
            <w:tcW w:w="8442" w:type="dxa"/>
            <w:tcBorders/>
            <w:vAlign w:val="center"/>
          </w:tcPr>
          <w:p>
            <w:pPr>
              <w:pStyle w:val="TableContents"/>
              <w:bidi w:val="0"/>
              <w:spacing w:before="0" w:after="0"/>
              <w:jc w:val="left"/>
              <w:rPr/>
            </w:pPr>
            <w:hyperlink w:anchor="Forward-Looking_Statements">
              <w:r>
                <w:rPr>
                  <w:rStyle w:val="InternetLink"/>
                </w:rPr>
                <w:t>Forward-Looking Statements</w:t>
              </w:r>
            </w:hyperlink>
          </w:p>
        </w:tc>
        <w:tc>
          <w:tcPr>
            <w:tcW w:w="576" w:type="dxa"/>
            <w:tcBorders/>
            <w:vAlign w:val="center"/>
          </w:tcPr>
          <w:p>
            <w:pPr>
              <w:pStyle w:val="TableContents"/>
              <w:bidi w:val="0"/>
              <w:spacing w:before="0" w:after="283"/>
              <w:jc w:val="right"/>
              <w:rPr/>
            </w:pPr>
            <w:r>
              <w:rPr/>
              <w:t xml:space="preserve">2 </w:t>
            </w:r>
          </w:p>
        </w:tc>
      </w:tr>
      <w:tr>
        <w:trPr/>
        <w:tc>
          <w:tcPr>
            <w:tcW w:w="1187" w:type="dxa"/>
            <w:tcBorders/>
            <w:shd w:fill="CCEEFF" w:val="clear"/>
            <w:vAlign w:val="center"/>
          </w:tcPr>
          <w:p>
            <w:pPr>
              <w:pStyle w:val="TableContents"/>
              <w:bidi w:val="0"/>
              <w:spacing w:before="0" w:after="0"/>
              <w:jc w:val="left"/>
              <w:rPr/>
            </w:pPr>
            <w:r>
              <w:rPr/>
              <w:t>Item 1.</w:t>
            </w:r>
          </w:p>
        </w:tc>
        <w:tc>
          <w:tcPr>
            <w:tcW w:w="8442" w:type="dxa"/>
            <w:tcBorders/>
            <w:shd w:fill="CCEEFF" w:val="clear"/>
            <w:vAlign w:val="center"/>
          </w:tcPr>
          <w:p>
            <w:pPr>
              <w:pStyle w:val="TableContents"/>
              <w:bidi w:val="0"/>
              <w:spacing w:before="0" w:after="0"/>
              <w:jc w:val="left"/>
              <w:rPr/>
            </w:pPr>
            <w:hyperlink w:anchor="Business">
              <w:r>
                <w:rPr>
                  <w:rStyle w:val="InternetLink"/>
                </w:rPr>
                <w:t>Business</w:t>
              </w:r>
            </w:hyperlink>
          </w:p>
        </w:tc>
        <w:tc>
          <w:tcPr>
            <w:tcW w:w="576" w:type="dxa"/>
            <w:tcBorders/>
            <w:shd w:fill="CCEEFF" w:val="clear"/>
            <w:vAlign w:val="center"/>
          </w:tcPr>
          <w:p>
            <w:pPr>
              <w:pStyle w:val="TableContents"/>
              <w:bidi w:val="0"/>
              <w:spacing w:before="0" w:after="283"/>
              <w:jc w:val="right"/>
              <w:rPr/>
            </w:pPr>
            <w:r>
              <w:rPr/>
              <w:t>3</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TheCompany">
              <w:r>
                <w:rPr>
                  <w:rStyle w:val="InternetLink"/>
                </w:rPr>
                <w:t>The Company</w:t>
              </w:r>
            </w:hyperlink>
          </w:p>
        </w:tc>
        <w:tc>
          <w:tcPr>
            <w:tcW w:w="576" w:type="dxa"/>
            <w:tcBorders/>
            <w:vAlign w:val="center"/>
          </w:tcPr>
          <w:p>
            <w:pPr>
              <w:pStyle w:val="TableContents"/>
              <w:bidi w:val="0"/>
              <w:spacing w:before="0" w:after="283"/>
              <w:jc w:val="right"/>
              <w:rPr/>
            </w:pPr>
            <w:r>
              <w:rPr/>
              <w:t>3</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Marketing">
              <w:r>
                <w:rPr>
                  <w:rStyle w:val="InternetLink"/>
                </w:rPr>
                <w:t>Marketing</w:t>
              </w:r>
            </w:hyperlink>
          </w:p>
        </w:tc>
        <w:tc>
          <w:tcPr>
            <w:tcW w:w="576" w:type="dxa"/>
            <w:tcBorders/>
            <w:shd w:fill="CCEEFF" w:val="clear"/>
            <w:vAlign w:val="center"/>
          </w:tcPr>
          <w:p>
            <w:pPr>
              <w:pStyle w:val="TableContents"/>
              <w:bidi w:val="0"/>
              <w:spacing w:before="0" w:after="283"/>
              <w:jc w:val="right"/>
              <w:rPr/>
            </w:pPr>
            <w:r>
              <w:rPr/>
              <w:t>4</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Underwriting">
              <w:r>
                <w:rPr>
                  <w:rStyle w:val="InternetLink"/>
                </w:rPr>
                <w:t>Underwriting</w:t>
              </w:r>
            </w:hyperlink>
          </w:p>
        </w:tc>
        <w:tc>
          <w:tcPr>
            <w:tcW w:w="576" w:type="dxa"/>
            <w:tcBorders/>
            <w:vAlign w:val="center"/>
          </w:tcPr>
          <w:p>
            <w:pPr>
              <w:pStyle w:val="TableContents"/>
              <w:bidi w:val="0"/>
              <w:spacing w:before="0" w:after="283"/>
              <w:jc w:val="right"/>
              <w:rPr/>
            </w:pPr>
            <w:r>
              <w:rPr/>
              <w:t>5</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PolicyholderandClaimsServ">
              <w:r>
                <w:rPr>
                  <w:rStyle w:val="InternetLink"/>
                </w:rPr>
                <w:t>Policyholder and Claims Services</w:t>
              </w:r>
            </w:hyperlink>
          </w:p>
        </w:tc>
        <w:tc>
          <w:tcPr>
            <w:tcW w:w="576" w:type="dxa"/>
            <w:tcBorders/>
            <w:shd w:fill="CCEEFF" w:val="clear"/>
            <w:vAlign w:val="center"/>
          </w:tcPr>
          <w:p>
            <w:pPr>
              <w:pStyle w:val="TableContents"/>
              <w:bidi w:val="0"/>
              <w:spacing w:before="0" w:after="283"/>
              <w:jc w:val="right"/>
              <w:rPr/>
            </w:pPr>
            <w:r>
              <w:rPr/>
              <w:t>6</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Reserves">
              <w:r>
                <w:rPr>
                  <w:rStyle w:val="InternetLink"/>
                </w:rPr>
                <w:t>Reserves</w:t>
              </w:r>
            </w:hyperlink>
          </w:p>
        </w:tc>
        <w:tc>
          <w:tcPr>
            <w:tcW w:w="576" w:type="dxa"/>
            <w:tcBorders/>
            <w:vAlign w:val="center"/>
          </w:tcPr>
          <w:p>
            <w:pPr>
              <w:pStyle w:val="TableContents"/>
              <w:bidi w:val="0"/>
              <w:spacing w:before="0" w:after="283"/>
              <w:jc w:val="right"/>
              <w:rPr/>
            </w:pPr>
            <w:r>
              <w:rPr/>
              <w:t>6</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Reinsurance">
              <w:r>
                <w:rPr>
                  <w:rStyle w:val="InternetLink"/>
                </w:rPr>
                <w:t>Reinsurance</w:t>
              </w:r>
            </w:hyperlink>
          </w:p>
        </w:tc>
        <w:tc>
          <w:tcPr>
            <w:tcW w:w="576" w:type="dxa"/>
            <w:tcBorders/>
            <w:shd w:fill="CCEEFF" w:val="clear"/>
            <w:vAlign w:val="center"/>
          </w:tcPr>
          <w:p>
            <w:pPr>
              <w:pStyle w:val="TableContents"/>
              <w:bidi w:val="0"/>
              <w:spacing w:before="0" w:after="283"/>
              <w:jc w:val="right"/>
              <w:rPr/>
            </w:pPr>
            <w:r>
              <w:rPr/>
              <w:t>7</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Competition">
              <w:r>
                <w:rPr>
                  <w:rStyle w:val="InternetLink"/>
                </w:rPr>
                <w:t>Competition</w:t>
              </w:r>
            </w:hyperlink>
          </w:p>
        </w:tc>
        <w:tc>
          <w:tcPr>
            <w:tcW w:w="576" w:type="dxa"/>
            <w:tcBorders/>
            <w:vAlign w:val="center"/>
          </w:tcPr>
          <w:p>
            <w:pPr>
              <w:pStyle w:val="TableContents"/>
              <w:bidi w:val="0"/>
              <w:spacing w:before="0" w:after="283"/>
              <w:jc w:val="right"/>
              <w:rPr/>
            </w:pPr>
            <w:r>
              <w:rPr/>
              <w:t>8</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Ratings">
              <w:r>
                <w:rPr>
                  <w:rStyle w:val="InternetLink"/>
                </w:rPr>
                <w:t>Ratings</w:t>
              </w:r>
            </w:hyperlink>
          </w:p>
        </w:tc>
        <w:tc>
          <w:tcPr>
            <w:tcW w:w="576" w:type="dxa"/>
            <w:tcBorders/>
            <w:shd w:fill="CCEEFF" w:val="clear"/>
            <w:vAlign w:val="center"/>
          </w:tcPr>
          <w:p>
            <w:pPr>
              <w:pStyle w:val="TableContents"/>
              <w:bidi w:val="0"/>
              <w:spacing w:before="0" w:after="283"/>
              <w:jc w:val="right"/>
              <w:rPr/>
            </w:pPr>
            <w:r>
              <w:rPr/>
              <w:t>8</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Regulation">
              <w:r>
                <w:rPr>
                  <w:rStyle w:val="InternetLink"/>
                </w:rPr>
                <w:t>Regulation</w:t>
              </w:r>
            </w:hyperlink>
          </w:p>
        </w:tc>
        <w:tc>
          <w:tcPr>
            <w:tcW w:w="576" w:type="dxa"/>
            <w:tcBorders/>
            <w:vAlign w:val="center"/>
          </w:tcPr>
          <w:p>
            <w:pPr>
              <w:pStyle w:val="TableContents"/>
              <w:bidi w:val="0"/>
              <w:spacing w:before="0" w:after="283"/>
              <w:jc w:val="right"/>
              <w:rPr/>
            </w:pPr>
            <w:r>
              <w:rPr/>
              <w:t>9</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NAICRatios">
              <w:r>
                <w:rPr>
                  <w:rStyle w:val="InternetLink"/>
                </w:rPr>
                <w:t>NAIC Ratios</w:t>
              </w:r>
            </w:hyperlink>
          </w:p>
        </w:tc>
        <w:tc>
          <w:tcPr>
            <w:tcW w:w="576" w:type="dxa"/>
            <w:tcBorders/>
            <w:shd w:fill="CCEEFF" w:val="clear"/>
            <w:vAlign w:val="center"/>
          </w:tcPr>
          <w:p>
            <w:pPr>
              <w:pStyle w:val="TableContents"/>
              <w:bidi w:val="0"/>
              <w:spacing w:before="0" w:after="283"/>
              <w:jc w:val="right"/>
              <w:rPr/>
            </w:pPr>
            <w:r>
              <w:rPr/>
              <w:t>9</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Risk-BasedCapital">
              <w:r>
                <w:rPr>
                  <w:rStyle w:val="InternetLink"/>
                </w:rPr>
                <w:t>Risk-Based Capital</w:t>
              </w:r>
            </w:hyperlink>
          </w:p>
        </w:tc>
        <w:tc>
          <w:tcPr>
            <w:tcW w:w="576" w:type="dxa"/>
            <w:tcBorders/>
            <w:vAlign w:val="center"/>
          </w:tcPr>
          <w:p>
            <w:pPr>
              <w:pStyle w:val="TableContents"/>
              <w:bidi w:val="0"/>
              <w:spacing w:before="0" w:after="283"/>
              <w:jc w:val="right"/>
              <w:rPr/>
            </w:pPr>
            <w:r>
              <w:rPr/>
              <w:t>10</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Investments">
              <w:r>
                <w:rPr>
                  <w:rStyle w:val="InternetLink"/>
                </w:rPr>
                <w:t>Investments</w:t>
              </w:r>
            </w:hyperlink>
          </w:p>
        </w:tc>
        <w:tc>
          <w:tcPr>
            <w:tcW w:w="576" w:type="dxa"/>
            <w:tcBorders/>
            <w:shd w:fill="CCEEFF" w:val="clear"/>
            <w:vAlign w:val="center"/>
          </w:tcPr>
          <w:p>
            <w:pPr>
              <w:pStyle w:val="TableContents"/>
              <w:bidi w:val="0"/>
              <w:spacing w:before="0" w:after="283"/>
              <w:jc w:val="right"/>
              <w:rPr/>
            </w:pPr>
            <w:r>
              <w:rPr/>
              <w:t>10</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HumanCapital">
              <w:r>
                <w:rPr>
                  <w:rStyle w:val="InternetLink"/>
                </w:rPr>
                <w:t>Human Capital</w:t>
              </w:r>
            </w:hyperlink>
          </w:p>
        </w:tc>
        <w:tc>
          <w:tcPr>
            <w:tcW w:w="576" w:type="dxa"/>
            <w:tcBorders/>
            <w:vAlign w:val="center"/>
          </w:tcPr>
          <w:p>
            <w:pPr>
              <w:pStyle w:val="TableContents"/>
              <w:bidi w:val="0"/>
              <w:spacing w:before="0" w:after="283"/>
              <w:jc w:val="right"/>
              <w:rPr/>
            </w:pPr>
            <w:r>
              <w:rPr/>
              <w:t>11</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FinancialInformationbyInd">
              <w:r>
                <w:rPr>
                  <w:rStyle w:val="InternetLink"/>
                </w:rPr>
                <w:t>Financial Information by Industry Segment</w:t>
              </w:r>
            </w:hyperlink>
          </w:p>
        </w:tc>
        <w:tc>
          <w:tcPr>
            <w:tcW w:w="576" w:type="dxa"/>
            <w:tcBorders/>
            <w:shd w:fill="CCEEFF" w:val="clear"/>
            <w:vAlign w:val="center"/>
          </w:tcPr>
          <w:p>
            <w:pPr>
              <w:pStyle w:val="TableContents"/>
              <w:bidi w:val="0"/>
              <w:spacing w:before="0" w:after="283"/>
              <w:jc w:val="right"/>
              <w:rPr/>
            </w:pPr>
            <w:r>
              <w:rPr/>
              <w:t>11</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AvailableInformation">
              <w:r>
                <w:rPr>
                  <w:rStyle w:val="InternetLink"/>
                </w:rPr>
                <w:t>Available Information</w:t>
              </w:r>
            </w:hyperlink>
          </w:p>
        </w:tc>
        <w:tc>
          <w:tcPr>
            <w:tcW w:w="576" w:type="dxa"/>
            <w:tcBorders/>
            <w:vAlign w:val="center"/>
          </w:tcPr>
          <w:p>
            <w:pPr>
              <w:pStyle w:val="TableContents"/>
              <w:bidi w:val="0"/>
              <w:spacing w:before="0" w:after="283"/>
              <w:jc w:val="right"/>
              <w:rPr/>
            </w:pPr>
            <w:r>
              <w:rPr/>
              <w:t>11</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ExecutiveOfficersoftheReg">
              <w:r>
                <w:rPr>
                  <w:rStyle w:val="InternetLink"/>
                </w:rPr>
                <w:t>Executive Officers of the Registrant</w:t>
              </w:r>
            </w:hyperlink>
          </w:p>
        </w:tc>
        <w:tc>
          <w:tcPr>
            <w:tcW w:w="576" w:type="dxa"/>
            <w:tcBorders/>
            <w:shd w:fill="CCEEFF" w:val="clear"/>
            <w:vAlign w:val="center"/>
          </w:tcPr>
          <w:p>
            <w:pPr>
              <w:pStyle w:val="TableContents"/>
              <w:bidi w:val="0"/>
              <w:spacing w:before="0" w:after="283"/>
              <w:jc w:val="right"/>
              <w:rPr/>
            </w:pPr>
            <w:r>
              <w:rPr/>
              <w:t>12</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pPr>
            <w:r>
              <w:rPr/>
              <w:t>Item 1A.</w:t>
            </w:r>
          </w:p>
        </w:tc>
        <w:tc>
          <w:tcPr>
            <w:tcW w:w="8442" w:type="dxa"/>
            <w:tcBorders/>
            <w:shd w:fill="CCEEFF" w:val="clear"/>
            <w:vAlign w:val="center"/>
          </w:tcPr>
          <w:p>
            <w:pPr>
              <w:pStyle w:val="TableContents"/>
              <w:bidi w:val="0"/>
              <w:spacing w:before="0" w:after="0"/>
              <w:jc w:val="left"/>
              <w:rPr/>
            </w:pPr>
            <w:hyperlink w:anchor="RiskFactors">
              <w:r>
                <w:rPr>
                  <w:rStyle w:val="InternetLink"/>
                </w:rPr>
                <w:t>Risk Factors</w:t>
              </w:r>
            </w:hyperlink>
          </w:p>
        </w:tc>
        <w:tc>
          <w:tcPr>
            <w:tcW w:w="576" w:type="dxa"/>
            <w:tcBorders/>
            <w:shd w:fill="CCEEFF" w:val="clear"/>
            <w:vAlign w:val="center"/>
          </w:tcPr>
          <w:p>
            <w:pPr>
              <w:pStyle w:val="TableContents"/>
              <w:bidi w:val="0"/>
              <w:spacing w:before="0" w:after="0"/>
              <w:jc w:val="right"/>
              <w:rPr/>
            </w:pPr>
            <w:r>
              <w:rPr/>
              <w:t>12</w:t>
            </w:r>
          </w:p>
        </w:tc>
      </w:tr>
      <w:tr>
        <w:trPr/>
        <w:tc>
          <w:tcPr>
            <w:tcW w:w="1187" w:type="dxa"/>
            <w:tcBorders/>
            <w:vAlign w:val="center"/>
          </w:tcPr>
          <w:p>
            <w:pPr>
              <w:pStyle w:val="TableContents"/>
              <w:bidi w:val="0"/>
              <w:spacing w:before="0" w:after="0"/>
              <w:jc w:val="left"/>
              <w:rPr/>
            </w:pPr>
            <w:r>
              <w:rPr/>
              <w:t>Item 1B.</w:t>
            </w:r>
          </w:p>
        </w:tc>
        <w:tc>
          <w:tcPr>
            <w:tcW w:w="8442" w:type="dxa"/>
            <w:tcBorders/>
            <w:vAlign w:val="center"/>
          </w:tcPr>
          <w:p>
            <w:pPr>
              <w:pStyle w:val="TableContents"/>
              <w:bidi w:val="0"/>
              <w:spacing w:before="0" w:after="0"/>
              <w:jc w:val="left"/>
              <w:rPr/>
            </w:pPr>
            <w:hyperlink w:anchor="UnresolvedStaffComments">
              <w:r>
                <w:rPr>
                  <w:rStyle w:val="InternetLink"/>
                </w:rPr>
                <w:t>Unresolved Staff Comments</w:t>
              </w:r>
            </w:hyperlink>
          </w:p>
        </w:tc>
        <w:tc>
          <w:tcPr>
            <w:tcW w:w="576" w:type="dxa"/>
            <w:tcBorders/>
            <w:vAlign w:val="center"/>
          </w:tcPr>
          <w:p>
            <w:pPr>
              <w:pStyle w:val="TableContents"/>
              <w:bidi w:val="0"/>
              <w:spacing w:before="0" w:after="283"/>
              <w:jc w:val="right"/>
              <w:rPr/>
            </w:pPr>
            <w:r>
              <w:rPr/>
              <w:t>12</w:t>
            </w:r>
          </w:p>
        </w:tc>
      </w:tr>
      <w:tr>
        <w:trPr/>
        <w:tc>
          <w:tcPr>
            <w:tcW w:w="1187" w:type="dxa"/>
            <w:tcBorders/>
            <w:shd w:fill="CCEEFF" w:val="clear"/>
            <w:vAlign w:val="center"/>
          </w:tcPr>
          <w:p>
            <w:pPr>
              <w:pStyle w:val="TableContents"/>
              <w:bidi w:val="0"/>
              <w:spacing w:before="0" w:after="0"/>
              <w:jc w:val="left"/>
              <w:rPr/>
            </w:pPr>
            <w:r>
              <w:rPr/>
              <w:t>Item 1C.</w:t>
            </w:r>
          </w:p>
        </w:tc>
        <w:tc>
          <w:tcPr>
            <w:tcW w:w="8442" w:type="dxa"/>
            <w:tcBorders/>
            <w:shd w:fill="CCEEFF" w:val="clear"/>
            <w:vAlign w:val="center"/>
          </w:tcPr>
          <w:p>
            <w:pPr>
              <w:pStyle w:val="TableContents"/>
              <w:bidi w:val="0"/>
              <w:spacing w:before="0" w:after="0"/>
              <w:jc w:val="left"/>
              <w:rPr/>
            </w:pPr>
            <w:hyperlink w:anchor="Cybersecurity">
              <w:r>
                <w:rPr>
                  <w:rStyle w:val="InternetLink"/>
                </w:rPr>
                <w:t>Cybersecurity</w:t>
              </w:r>
            </w:hyperlink>
          </w:p>
        </w:tc>
        <w:tc>
          <w:tcPr>
            <w:tcW w:w="576" w:type="dxa"/>
            <w:tcBorders/>
            <w:shd w:fill="CCEEFF" w:val="clear"/>
            <w:vAlign w:val="center"/>
          </w:tcPr>
          <w:p>
            <w:pPr>
              <w:pStyle w:val="TableContents"/>
              <w:bidi w:val="0"/>
              <w:spacing w:before="0" w:after="283"/>
              <w:jc w:val="right"/>
              <w:rPr/>
            </w:pPr>
            <w:r>
              <w:rPr/>
              <w:t>12</w:t>
            </w:r>
          </w:p>
        </w:tc>
      </w:tr>
      <w:tr>
        <w:trPr/>
        <w:tc>
          <w:tcPr>
            <w:tcW w:w="1187" w:type="dxa"/>
            <w:tcBorders/>
            <w:vAlign w:val="center"/>
          </w:tcPr>
          <w:p>
            <w:pPr>
              <w:pStyle w:val="TableContents"/>
              <w:bidi w:val="0"/>
              <w:spacing w:before="0" w:after="0"/>
              <w:jc w:val="left"/>
              <w:rPr/>
            </w:pPr>
            <w:r>
              <w:rPr/>
              <w:t>Item 2.</w:t>
            </w:r>
          </w:p>
        </w:tc>
        <w:tc>
          <w:tcPr>
            <w:tcW w:w="8442" w:type="dxa"/>
            <w:tcBorders/>
            <w:vAlign w:val="center"/>
          </w:tcPr>
          <w:p>
            <w:pPr>
              <w:pStyle w:val="TableContents"/>
              <w:bidi w:val="0"/>
              <w:spacing w:before="0" w:after="0"/>
              <w:jc w:val="left"/>
              <w:rPr/>
            </w:pPr>
            <w:hyperlink w:anchor="Properties">
              <w:r>
                <w:rPr>
                  <w:rStyle w:val="InternetLink"/>
                </w:rPr>
                <w:t>Properties</w:t>
              </w:r>
            </w:hyperlink>
          </w:p>
        </w:tc>
        <w:tc>
          <w:tcPr>
            <w:tcW w:w="576" w:type="dxa"/>
            <w:tcBorders/>
            <w:vAlign w:val="center"/>
          </w:tcPr>
          <w:p>
            <w:pPr>
              <w:pStyle w:val="TableContents"/>
              <w:bidi w:val="0"/>
              <w:spacing w:before="0" w:after="283"/>
              <w:jc w:val="right"/>
              <w:rPr/>
            </w:pPr>
            <w:r>
              <w:rPr/>
              <w:t>13</w:t>
            </w:r>
          </w:p>
        </w:tc>
      </w:tr>
      <w:tr>
        <w:trPr/>
        <w:tc>
          <w:tcPr>
            <w:tcW w:w="1187" w:type="dxa"/>
            <w:tcBorders/>
            <w:shd w:fill="CCEEFF" w:val="clear"/>
            <w:vAlign w:val="center"/>
          </w:tcPr>
          <w:p>
            <w:pPr>
              <w:pStyle w:val="TableContents"/>
              <w:bidi w:val="0"/>
              <w:spacing w:before="0" w:after="0"/>
              <w:jc w:val="left"/>
              <w:rPr/>
            </w:pPr>
            <w:r>
              <w:rPr/>
              <w:t>Item 3.</w:t>
            </w:r>
          </w:p>
        </w:tc>
        <w:tc>
          <w:tcPr>
            <w:tcW w:w="8442" w:type="dxa"/>
            <w:tcBorders/>
            <w:shd w:fill="CCEEFF" w:val="clear"/>
            <w:vAlign w:val="center"/>
          </w:tcPr>
          <w:p>
            <w:pPr>
              <w:pStyle w:val="TableContents"/>
              <w:bidi w:val="0"/>
              <w:spacing w:before="0" w:after="0"/>
              <w:jc w:val="left"/>
              <w:rPr/>
            </w:pPr>
            <w:hyperlink w:anchor="LegalProceedings">
              <w:r>
                <w:rPr>
                  <w:rStyle w:val="InternetLink"/>
                </w:rPr>
                <w:t>Legal Proceedings</w:t>
              </w:r>
            </w:hyperlink>
          </w:p>
        </w:tc>
        <w:tc>
          <w:tcPr>
            <w:tcW w:w="576" w:type="dxa"/>
            <w:tcBorders/>
            <w:shd w:fill="CCEEFF" w:val="clear"/>
            <w:vAlign w:val="center"/>
          </w:tcPr>
          <w:p>
            <w:pPr>
              <w:pStyle w:val="TableContents"/>
              <w:bidi w:val="0"/>
              <w:spacing w:before="0" w:after="283"/>
              <w:jc w:val="right"/>
              <w:rPr/>
            </w:pPr>
            <w:r>
              <w:rPr/>
              <w:t>13</w:t>
            </w:r>
          </w:p>
        </w:tc>
      </w:tr>
      <w:tr>
        <w:trPr/>
        <w:tc>
          <w:tcPr>
            <w:tcW w:w="1187" w:type="dxa"/>
            <w:tcBorders/>
            <w:vAlign w:val="center"/>
          </w:tcPr>
          <w:p>
            <w:pPr>
              <w:pStyle w:val="TableContents"/>
              <w:bidi w:val="0"/>
              <w:spacing w:before="0" w:after="0"/>
              <w:jc w:val="left"/>
              <w:rPr/>
            </w:pPr>
            <w:r>
              <w:rPr/>
              <w:t>Item 4.</w:t>
            </w:r>
          </w:p>
        </w:tc>
        <w:tc>
          <w:tcPr>
            <w:tcW w:w="8442" w:type="dxa"/>
            <w:tcBorders/>
            <w:vAlign w:val="center"/>
          </w:tcPr>
          <w:p>
            <w:pPr>
              <w:pStyle w:val="TableContents"/>
              <w:bidi w:val="0"/>
              <w:spacing w:before="0" w:after="0"/>
              <w:jc w:val="left"/>
              <w:rPr/>
            </w:pPr>
            <w:hyperlink w:anchor="MineSafetyDisclosures">
              <w:r>
                <w:rPr>
                  <w:rStyle w:val="InternetLink"/>
                </w:rPr>
                <w:t>Mine Safety Disclosures</w:t>
              </w:r>
            </w:hyperlink>
          </w:p>
        </w:tc>
        <w:tc>
          <w:tcPr>
            <w:tcW w:w="576" w:type="dxa"/>
            <w:tcBorders/>
            <w:vAlign w:val="center"/>
          </w:tcPr>
          <w:p>
            <w:pPr>
              <w:pStyle w:val="TableContents"/>
              <w:bidi w:val="0"/>
              <w:spacing w:before="0" w:after="283"/>
              <w:jc w:val="right"/>
              <w:rPr/>
            </w:pPr>
            <w:r>
              <w:rPr/>
              <w:t>14</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b/>
              </w:rPr>
            </w:pPr>
            <w:r>
              <w:rPr>
                <w:b/>
              </w:rPr>
              <w:t>PART II</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pPr>
            <w:r>
              <w:rPr/>
              <w:t>Item 5.</w:t>
            </w:r>
          </w:p>
        </w:tc>
        <w:tc>
          <w:tcPr>
            <w:tcW w:w="8442" w:type="dxa"/>
            <w:tcBorders/>
            <w:shd w:fill="CCEEFF" w:val="clear"/>
            <w:vAlign w:val="center"/>
          </w:tcPr>
          <w:p>
            <w:pPr>
              <w:pStyle w:val="TableContents"/>
              <w:bidi w:val="0"/>
              <w:spacing w:before="0" w:after="0"/>
              <w:jc w:val="left"/>
              <w:rPr/>
            </w:pPr>
            <w:hyperlink w:anchor="MarketforRegistrantsCommo">
              <w:r>
                <w:rPr>
                  <w:rStyle w:val="InternetLink"/>
                </w:rPr>
                <w:t>Market for Registrant’s Common Equity, Related Shareholder Matters and Issuer Purchases of Equity Securities</w:t>
              </w:r>
            </w:hyperlink>
          </w:p>
        </w:tc>
        <w:tc>
          <w:tcPr>
            <w:tcW w:w="576" w:type="dxa"/>
            <w:tcBorders/>
            <w:shd w:fill="CCEEFF" w:val="clear"/>
            <w:vAlign w:val="center"/>
          </w:tcPr>
          <w:p>
            <w:pPr>
              <w:pStyle w:val="TableContents"/>
              <w:bidi w:val="0"/>
              <w:spacing w:before="0" w:after="283"/>
              <w:jc w:val="right"/>
              <w:rPr/>
            </w:pPr>
            <w:r>
              <w:rPr/>
              <w:t>14</w:t>
            </w:r>
          </w:p>
        </w:tc>
      </w:tr>
      <w:tr>
        <w:trPr/>
        <w:tc>
          <w:tcPr>
            <w:tcW w:w="1187" w:type="dxa"/>
            <w:tcBorders/>
            <w:vAlign w:val="center"/>
          </w:tcPr>
          <w:p>
            <w:pPr>
              <w:pStyle w:val="TableContents"/>
              <w:bidi w:val="0"/>
              <w:spacing w:before="0" w:after="0"/>
              <w:jc w:val="left"/>
              <w:rPr/>
            </w:pPr>
            <w:r>
              <w:rPr/>
              <w:t>Item 6.</w:t>
            </w:r>
          </w:p>
        </w:tc>
        <w:tc>
          <w:tcPr>
            <w:tcW w:w="8442" w:type="dxa"/>
            <w:tcBorders/>
            <w:vAlign w:val="center"/>
          </w:tcPr>
          <w:p>
            <w:pPr>
              <w:pStyle w:val="TableContents"/>
              <w:bidi w:val="0"/>
              <w:spacing w:before="0" w:after="0"/>
              <w:jc w:val="left"/>
              <w:rPr/>
            </w:pPr>
            <w:hyperlink w:anchor="Reserved">
              <w:r>
                <w:rPr>
                  <w:rStyle w:val="InternetLink"/>
                </w:rPr>
                <w:t>Reserved</w:t>
              </w:r>
            </w:hyperlink>
          </w:p>
        </w:tc>
        <w:tc>
          <w:tcPr>
            <w:tcW w:w="576" w:type="dxa"/>
            <w:tcBorders/>
            <w:vAlign w:val="center"/>
          </w:tcPr>
          <w:p>
            <w:pPr>
              <w:pStyle w:val="TableContents"/>
              <w:bidi w:val="0"/>
              <w:spacing w:before="0" w:after="283"/>
              <w:jc w:val="right"/>
              <w:rPr/>
            </w:pPr>
            <w:r>
              <w:rPr/>
              <w:t>14</w:t>
            </w:r>
          </w:p>
        </w:tc>
      </w:tr>
      <w:tr>
        <w:trPr/>
        <w:tc>
          <w:tcPr>
            <w:tcW w:w="1187" w:type="dxa"/>
            <w:tcBorders/>
            <w:shd w:fill="CCEEFF" w:val="clear"/>
            <w:vAlign w:val="center"/>
          </w:tcPr>
          <w:p>
            <w:pPr>
              <w:pStyle w:val="TableContents"/>
              <w:bidi w:val="0"/>
              <w:spacing w:before="0" w:after="0"/>
              <w:jc w:val="left"/>
              <w:rPr/>
            </w:pPr>
            <w:r>
              <w:rPr/>
              <w:t>Item 7.</w:t>
            </w:r>
          </w:p>
        </w:tc>
        <w:tc>
          <w:tcPr>
            <w:tcW w:w="8442" w:type="dxa"/>
            <w:tcBorders/>
            <w:shd w:fill="CCEEFF" w:val="clear"/>
            <w:vAlign w:val="center"/>
          </w:tcPr>
          <w:p>
            <w:pPr>
              <w:pStyle w:val="TableContents"/>
              <w:bidi w:val="0"/>
              <w:spacing w:before="0" w:after="0"/>
              <w:jc w:val="left"/>
              <w:rPr/>
            </w:pPr>
            <w:hyperlink w:anchor="ManagementsDiscussionandA">
              <w:r>
                <w:rPr>
                  <w:rStyle w:val="InternetLink"/>
                </w:rPr>
                <w:t>Management’s Discussion and Analysis of Financial Condition and Results of Operations</w:t>
              </w:r>
            </w:hyperlink>
          </w:p>
        </w:tc>
        <w:tc>
          <w:tcPr>
            <w:tcW w:w="576" w:type="dxa"/>
            <w:tcBorders/>
            <w:shd w:fill="CCEEFF" w:val="clear"/>
            <w:vAlign w:val="center"/>
          </w:tcPr>
          <w:p>
            <w:pPr>
              <w:pStyle w:val="TableContents"/>
              <w:bidi w:val="0"/>
              <w:spacing w:before="0" w:after="0"/>
              <w:jc w:val="right"/>
              <w:rPr/>
            </w:pPr>
            <w:r>
              <w:rPr/>
              <w:t>14</w:t>
            </w:r>
          </w:p>
        </w:tc>
      </w:tr>
      <w:tr>
        <w:trPr/>
        <w:tc>
          <w:tcPr>
            <w:tcW w:w="1187" w:type="dxa"/>
            <w:tcBorders/>
            <w:vAlign w:val="center"/>
          </w:tcPr>
          <w:p>
            <w:pPr>
              <w:pStyle w:val="TableContents"/>
              <w:bidi w:val="0"/>
              <w:spacing w:before="0" w:after="0"/>
              <w:jc w:val="left"/>
              <w:rPr/>
            </w:pPr>
            <w:r>
              <w:rPr/>
              <w:t>Item 7A.</w:t>
            </w:r>
          </w:p>
        </w:tc>
        <w:tc>
          <w:tcPr>
            <w:tcW w:w="8442" w:type="dxa"/>
            <w:tcBorders/>
            <w:vAlign w:val="center"/>
          </w:tcPr>
          <w:p>
            <w:pPr>
              <w:pStyle w:val="TableContents"/>
              <w:bidi w:val="0"/>
              <w:spacing w:before="0" w:after="0"/>
              <w:jc w:val="left"/>
              <w:rPr/>
            </w:pPr>
            <w:hyperlink w:anchor="QuantitativeandQualitativ">
              <w:r>
                <w:rPr>
                  <w:rStyle w:val="InternetLink"/>
                </w:rPr>
                <w:t>Quantitative and Qualitative Disclosures About Market Risk</w:t>
              </w:r>
            </w:hyperlink>
          </w:p>
        </w:tc>
        <w:tc>
          <w:tcPr>
            <w:tcW w:w="576" w:type="dxa"/>
            <w:tcBorders/>
            <w:vAlign w:val="center"/>
          </w:tcPr>
          <w:p>
            <w:pPr>
              <w:pStyle w:val="TableContents"/>
              <w:bidi w:val="0"/>
              <w:spacing w:before="0" w:after="283"/>
              <w:jc w:val="right"/>
              <w:rPr/>
            </w:pPr>
            <w:r>
              <w:rPr/>
              <w:t>24</w:t>
            </w:r>
          </w:p>
        </w:tc>
      </w:tr>
      <w:tr>
        <w:trPr/>
        <w:tc>
          <w:tcPr>
            <w:tcW w:w="1187" w:type="dxa"/>
            <w:tcBorders/>
            <w:shd w:fill="CCEEFF" w:val="clear"/>
            <w:vAlign w:val="center"/>
          </w:tcPr>
          <w:p>
            <w:pPr>
              <w:pStyle w:val="TableContents"/>
              <w:bidi w:val="0"/>
              <w:spacing w:before="0" w:after="0"/>
              <w:jc w:val="left"/>
              <w:rPr/>
            </w:pPr>
            <w:r>
              <w:rPr/>
              <w:t>Item 8.</w:t>
            </w:r>
          </w:p>
        </w:tc>
        <w:tc>
          <w:tcPr>
            <w:tcW w:w="8442" w:type="dxa"/>
            <w:tcBorders/>
            <w:shd w:fill="CCEEFF" w:val="clear"/>
            <w:vAlign w:val="center"/>
          </w:tcPr>
          <w:p>
            <w:pPr>
              <w:pStyle w:val="TableContents"/>
              <w:bidi w:val="0"/>
              <w:spacing w:before="0" w:after="0"/>
              <w:jc w:val="left"/>
              <w:rPr/>
            </w:pPr>
            <w:hyperlink w:anchor="FinancialStatementsandSup">
              <w:r>
                <w:rPr>
                  <w:rStyle w:val="InternetLink"/>
                </w:rPr>
                <w:t>Financial Statements and Supplementary Data</w:t>
              </w:r>
            </w:hyperlink>
          </w:p>
        </w:tc>
        <w:tc>
          <w:tcPr>
            <w:tcW w:w="576" w:type="dxa"/>
            <w:tcBorders/>
            <w:shd w:fill="CCEEFF" w:val="clear"/>
            <w:vAlign w:val="center"/>
          </w:tcPr>
          <w:p>
            <w:pPr>
              <w:pStyle w:val="TableContents"/>
              <w:bidi w:val="0"/>
              <w:spacing w:before="0" w:after="283"/>
              <w:jc w:val="right"/>
              <w:rPr/>
            </w:pPr>
            <w:r>
              <w:rPr/>
              <w:t>25</w:t>
            </w:r>
          </w:p>
        </w:tc>
      </w:tr>
      <w:tr>
        <w:trPr/>
        <w:tc>
          <w:tcPr>
            <w:tcW w:w="1187" w:type="dxa"/>
            <w:tcBorders/>
            <w:vAlign w:val="center"/>
          </w:tcPr>
          <w:p>
            <w:pPr>
              <w:pStyle w:val="TableContents"/>
              <w:bidi w:val="0"/>
              <w:spacing w:before="0" w:after="0"/>
              <w:jc w:val="left"/>
              <w:rPr/>
            </w:pPr>
            <w:r>
              <w:rPr/>
              <w:t>Item 9.</w:t>
            </w:r>
          </w:p>
        </w:tc>
        <w:tc>
          <w:tcPr>
            <w:tcW w:w="8442" w:type="dxa"/>
            <w:tcBorders/>
            <w:vAlign w:val="center"/>
          </w:tcPr>
          <w:p>
            <w:pPr>
              <w:pStyle w:val="TableContents"/>
              <w:bidi w:val="0"/>
              <w:spacing w:before="0" w:after="0"/>
              <w:jc w:val="left"/>
              <w:rPr/>
            </w:pPr>
            <w:hyperlink w:anchor="ChangesinandDisagreements">
              <w:r>
                <w:rPr>
                  <w:rStyle w:val="InternetLink"/>
                </w:rPr>
                <w:t>Changes in and Disagreements with Accountants on Accounting and Financial Disclosure</w:t>
              </w:r>
            </w:hyperlink>
          </w:p>
        </w:tc>
        <w:tc>
          <w:tcPr>
            <w:tcW w:w="576" w:type="dxa"/>
            <w:tcBorders/>
            <w:vAlign w:val="center"/>
          </w:tcPr>
          <w:p>
            <w:pPr>
              <w:pStyle w:val="TableContents"/>
              <w:bidi w:val="0"/>
              <w:spacing w:before="0" w:after="283"/>
              <w:jc w:val="right"/>
              <w:rPr/>
            </w:pPr>
            <w:r>
              <w:rPr/>
              <w:t>75</w:t>
            </w:r>
          </w:p>
        </w:tc>
      </w:tr>
      <w:tr>
        <w:trPr/>
        <w:tc>
          <w:tcPr>
            <w:tcW w:w="1187" w:type="dxa"/>
            <w:tcBorders/>
            <w:shd w:fill="CCEEFF" w:val="clear"/>
            <w:vAlign w:val="center"/>
          </w:tcPr>
          <w:p>
            <w:pPr>
              <w:pStyle w:val="TableContents"/>
              <w:bidi w:val="0"/>
              <w:spacing w:before="0" w:after="0"/>
              <w:jc w:val="left"/>
              <w:rPr/>
            </w:pPr>
            <w:r>
              <w:rPr/>
              <w:t>Item 9A.</w:t>
            </w:r>
          </w:p>
        </w:tc>
        <w:tc>
          <w:tcPr>
            <w:tcW w:w="8442" w:type="dxa"/>
            <w:tcBorders/>
            <w:shd w:fill="CCEEFF" w:val="clear"/>
            <w:vAlign w:val="center"/>
          </w:tcPr>
          <w:p>
            <w:pPr>
              <w:pStyle w:val="TableContents"/>
              <w:bidi w:val="0"/>
              <w:spacing w:before="0" w:after="0"/>
              <w:jc w:val="left"/>
              <w:rPr/>
            </w:pPr>
            <w:hyperlink w:anchor="ControlsandProcedures">
              <w:r>
                <w:rPr>
                  <w:rStyle w:val="InternetLink"/>
                </w:rPr>
                <w:t>Controls and Procedures</w:t>
              </w:r>
            </w:hyperlink>
          </w:p>
        </w:tc>
        <w:tc>
          <w:tcPr>
            <w:tcW w:w="576" w:type="dxa"/>
            <w:tcBorders/>
            <w:shd w:fill="CCEEFF" w:val="clear"/>
            <w:vAlign w:val="center"/>
          </w:tcPr>
          <w:p>
            <w:pPr>
              <w:pStyle w:val="TableContents"/>
              <w:bidi w:val="0"/>
              <w:spacing w:before="0" w:after="283"/>
              <w:jc w:val="right"/>
              <w:rPr/>
            </w:pPr>
            <w:r>
              <w:rPr/>
              <w:t>75</w:t>
            </w:r>
          </w:p>
        </w:tc>
      </w:tr>
      <w:tr>
        <w:trPr/>
        <w:tc>
          <w:tcPr>
            <w:tcW w:w="1187" w:type="dxa"/>
            <w:tcBorders/>
            <w:vAlign w:val="center"/>
          </w:tcPr>
          <w:p>
            <w:pPr>
              <w:pStyle w:val="TableContents"/>
              <w:bidi w:val="0"/>
              <w:spacing w:before="0" w:after="0"/>
              <w:jc w:val="left"/>
              <w:rPr/>
            </w:pPr>
            <w:r>
              <w:rPr/>
              <w:t>Item 9B.</w:t>
            </w:r>
          </w:p>
        </w:tc>
        <w:tc>
          <w:tcPr>
            <w:tcW w:w="8442" w:type="dxa"/>
            <w:tcBorders/>
            <w:vAlign w:val="center"/>
          </w:tcPr>
          <w:p>
            <w:pPr>
              <w:pStyle w:val="TableContents"/>
              <w:bidi w:val="0"/>
              <w:spacing w:before="0" w:after="0"/>
              <w:jc w:val="left"/>
              <w:rPr/>
            </w:pPr>
            <w:hyperlink w:anchor="OtherInformation">
              <w:r>
                <w:rPr>
                  <w:rStyle w:val="InternetLink"/>
                </w:rPr>
                <w:t>Other Information</w:t>
              </w:r>
            </w:hyperlink>
          </w:p>
        </w:tc>
        <w:tc>
          <w:tcPr>
            <w:tcW w:w="576" w:type="dxa"/>
            <w:tcBorders/>
            <w:vAlign w:val="center"/>
          </w:tcPr>
          <w:p>
            <w:pPr>
              <w:pStyle w:val="TableContents"/>
              <w:bidi w:val="0"/>
              <w:spacing w:before="0" w:after="283"/>
              <w:jc w:val="right"/>
              <w:rPr/>
            </w:pPr>
            <w:r>
              <w:rPr/>
              <w:t>76</w:t>
            </w:r>
          </w:p>
        </w:tc>
      </w:tr>
      <w:tr>
        <w:trPr/>
        <w:tc>
          <w:tcPr>
            <w:tcW w:w="1187" w:type="dxa"/>
            <w:tcBorders/>
            <w:shd w:fill="CCEEFF" w:val="clear"/>
            <w:vAlign w:val="center"/>
          </w:tcPr>
          <w:p>
            <w:pPr>
              <w:pStyle w:val="TableContents"/>
              <w:bidi w:val="0"/>
              <w:spacing w:before="0" w:after="0"/>
              <w:jc w:val="left"/>
              <w:rPr/>
            </w:pPr>
            <w:r>
              <w:rPr/>
              <w:t>Item 9C.</w:t>
            </w:r>
          </w:p>
        </w:tc>
        <w:tc>
          <w:tcPr>
            <w:tcW w:w="8442" w:type="dxa"/>
            <w:tcBorders/>
            <w:shd w:fill="CCEEFF" w:val="clear"/>
            <w:vAlign w:val="center"/>
          </w:tcPr>
          <w:p>
            <w:pPr>
              <w:pStyle w:val="TableContents"/>
              <w:bidi w:val="0"/>
              <w:spacing w:before="0" w:after="0"/>
              <w:jc w:val="left"/>
              <w:rPr/>
            </w:pPr>
            <w:hyperlink w:anchor="DisclosureRegardingForeig">
              <w:r>
                <w:rPr>
                  <w:rStyle w:val="InternetLink"/>
                </w:rPr>
                <w:t>Disclosure Regarding Foreign Jurisdictions that Prevent Inspections</w:t>
              </w:r>
            </w:hyperlink>
          </w:p>
        </w:tc>
        <w:tc>
          <w:tcPr>
            <w:tcW w:w="576" w:type="dxa"/>
            <w:tcBorders/>
            <w:shd w:fill="CCEEFF" w:val="clear"/>
            <w:vAlign w:val="center"/>
          </w:tcPr>
          <w:p>
            <w:pPr>
              <w:pStyle w:val="TableContents"/>
              <w:bidi w:val="0"/>
              <w:spacing w:before="0" w:after="283"/>
              <w:jc w:val="right"/>
              <w:rPr/>
            </w:pPr>
            <w:r>
              <w:rPr/>
              <w:t>76</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b/>
              </w:rPr>
            </w:pPr>
            <w:r>
              <w:rPr>
                <w:b/>
              </w:rPr>
              <w:t>PART III</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pPr>
            <w:r>
              <w:rPr/>
              <w:t>Item 10.</w:t>
            </w:r>
          </w:p>
        </w:tc>
        <w:tc>
          <w:tcPr>
            <w:tcW w:w="8442" w:type="dxa"/>
            <w:tcBorders/>
            <w:vAlign w:val="center"/>
          </w:tcPr>
          <w:p>
            <w:pPr>
              <w:pStyle w:val="TableContents"/>
              <w:bidi w:val="0"/>
              <w:spacing w:before="0" w:after="0"/>
              <w:jc w:val="left"/>
              <w:rPr/>
            </w:pPr>
            <w:hyperlink w:anchor="DirectorsExecutiveOfficer">
              <w:r>
                <w:rPr>
                  <w:rStyle w:val="InternetLink"/>
                </w:rPr>
                <w:t>Directors, Executive Officers and Corporate Governance</w:t>
              </w:r>
            </w:hyperlink>
          </w:p>
        </w:tc>
        <w:tc>
          <w:tcPr>
            <w:tcW w:w="576" w:type="dxa"/>
            <w:tcBorders/>
            <w:vAlign w:val="center"/>
          </w:tcPr>
          <w:p>
            <w:pPr>
              <w:pStyle w:val="TableContents"/>
              <w:bidi w:val="0"/>
              <w:spacing w:before="0" w:after="283"/>
              <w:jc w:val="right"/>
              <w:rPr/>
            </w:pPr>
            <w:r>
              <w:rPr/>
              <w:t>77</w:t>
            </w:r>
          </w:p>
        </w:tc>
      </w:tr>
      <w:tr>
        <w:trPr/>
        <w:tc>
          <w:tcPr>
            <w:tcW w:w="1187" w:type="dxa"/>
            <w:tcBorders/>
            <w:shd w:fill="CCEEFF" w:val="clear"/>
            <w:vAlign w:val="center"/>
          </w:tcPr>
          <w:p>
            <w:pPr>
              <w:pStyle w:val="TableContents"/>
              <w:bidi w:val="0"/>
              <w:spacing w:before="0" w:after="0"/>
              <w:jc w:val="left"/>
              <w:rPr/>
            </w:pPr>
            <w:r>
              <w:rPr/>
              <w:t>Item 11.</w:t>
            </w:r>
          </w:p>
        </w:tc>
        <w:tc>
          <w:tcPr>
            <w:tcW w:w="8442" w:type="dxa"/>
            <w:tcBorders/>
            <w:shd w:fill="CCEEFF" w:val="clear"/>
            <w:vAlign w:val="center"/>
          </w:tcPr>
          <w:p>
            <w:pPr>
              <w:pStyle w:val="TableContents"/>
              <w:bidi w:val="0"/>
              <w:spacing w:before="0" w:after="0"/>
              <w:jc w:val="left"/>
              <w:rPr/>
            </w:pPr>
            <w:hyperlink w:anchor="ExecutiveCompensation">
              <w:r>
                <w:rPr>
                  <w:rStyle w:val="InternetLink"/>
                </w:rPr>
                <w:t>Executive Compensation</w:t>
              </w:r>
            </w:hyperlink>
          </w:p>
        </w:tc>
        <w:tc>
          <w:tcPr>
            <w:tcW w:w="576" w:type="dxa"/>
            <w:tcBorders/>
            <w:shd w:fill="CCEEFF" w:val="clear"/>
            <w:vAlign w:val="center"/>
          </w:tcPr>
          <w:p>
            <w:pPr>
              <w:pStyle w:val="TableContents"/>
              <w:bidi w:val="0"/>
              <w:spacing w:before="0" w:after="283"/>
              <w:jc w:val="right"/>
              <w:rPr/>
            </w:pPr>
            <w:r>
              <w:rPr/>
              <w:t>81</w:t>
            </w:r>
          </w:p>
        </w:tc>
      </w:tr>
      <w:tr>
        <w:trPr/>
        <w:tc>
          <w:tcPr>
            <w:tcW w:w="1187" w:type="dxa"/>
            <w:tcBorders/>
            <w:vAlign w:val="center"/>
          </w:tcPr>
          <w:p>
            <w:pPr>
              <w:pStyle w:val="TableContents"/>
              <w:bidi w:val="0"/>
              <w:spacing w:before="0" w:after="0"/>
              <w:jc w:val="left"/>
              <w:rPr/>
            </w:pPr>
            <w:r>
              <w:rPr/>
              <w:t>Item 12.</w:t>
            </w:r>
          </w:p>
        </w:tc>
        <w:tc>
          <w:tcPr>
            <w:tcW w:w="8442" w:type="dxa"/>
            <w:tcBorders/>
            <w:vAlign w:val="center"/>
          </w:tcPr>
          <w:p>
            <w:pPr>
              <w:pStyle w:val="TableContents"/>
              <w:bidi w:val="0"/>
              <w:spacing w:before="0" w:after="0"/>
              <w:jc w:val="left"/>
              <w:rPr/>
            </w:pPr>
            <w:hyperlink w:anchor="SecurityOwnershipofCertai">
              <w:r>
                <w:rPr>
                  <w:rStyle w:val="InternetLink"/>
                </w:rPr>
                <w:t>Security Ownership of Certain Beneficial Owners and Management and Related Shareholder Matters</w:t>
              </w:r>
            </w:hyperlink>
          </w:p>
        </w:tc>
        <w:tc>
          <w:tcPr>
            <w:tcW w:w="576" w:type="dxa"/>
            <w:tcBorders/>
            <w:vAlign w:val="center"/>
          </w:tcPr>
          <w:p>
            <w:pPr>
              <w:pStyle w:val="TableContents"/>
              <w:bidi w:val="0"/>
              <w:spacing w:before="0" w:after="283"/>
              <w:jc w:val="right"/>
              <w:rPr/>
            </w:pPr>
            <w:r>
              <w:rPr/>
              <w:t>82</w:t>
            </w:r>
          </w:p>
        </w:tc>
      </w:tr>
      <w:tr>
        <w:trPr/>
        <w:tc>
          <w:tcPr>
            <w:tcW w:w="1187" w:type="dxa"/>
            <w:tcBorders/>
            <w:shd w:fill="CCEEFF" w:val="clear"/>
            <w:vAlign w:val="center"/>
          </w:tcPr>
          <w:p>
            <w:pPr>
              <w:pStyle w:val="TableContents"/>
              <w:bidi w:val="0"/>
              <w:spacing w:before="0" w:after="0"/>
              <w:jc w:val="left"/>
              <w:rPr/>
            </w:pPr>
            <w:r>
              <w:rPr/>
              <w:t>Item 13.</w:t>
            </w:r>
          </w:p>
        </w:tc>
        <w:tc>
          <w:tcPr>
            <w:tcW w:w="8442" w:type="dxa"/>
            <w:tcBorders/>
            <w:shd w:fill="CCEEFF" w:val="clear"/>
            <w:vAlign w:val="center"/>
          </w:tcPr>
          <w:p>
            <w:pPr>
              <w:pStyle w:val="TableContents"/>
              <w:bidi w:val="0"/>
              <w:spacing w:before="0" w:after="0"/>
              <w:jc w:val="left"/>
              <w:rPr/>
            </w:pPr>
            <w:hyperlink w:anchor="CertainRelationshipsandRe">
              <w:r>
                <w:rPr>
                  <w:rStyle w:val="InternetLink"/>
                </w:rPr>
                <w:t>Certain Relationships and Related Transactions, and Director Independence</w:t>
              </w:r>
            </w:hyperlink>
          </w:p>
        </w:tc>
        <w:tc>
          <w:tcPr>
            <w:tcW w:w="576" w:type="dxa"/>
            <w:tcBorders/>
            <w:shd w:fill="CCEEFF" w:val="clear"/>
            <w:vAlign w:val="center"/>
          </w:tcPr>
          <w:p>
            <w:pPr>
              <w:pStyle w:val="TableContents"/>
              <w:bidi w:val="0"/>
              <w:spacing w:before="0" w:after="283"/>
              <w:jc w:val="right"/>
              <w:rPr/>
            </w:pPr>
            <w:r>
              <w:rPr/>
              <w:t>83</w:t>
            </w:r>
          </w:p>
        </w:tc>
      </w:tr>
      <w:tr>
        <w:trPr/>
        <w:tc>
          <w:tcPr>
            <w:tcW w:w="1187" w:type="dxa"/>
            <w:tcBorders/>
            <w:vAlign w:val="center"/>
          </w:tcPr>
          <w:p>
            <w:pPr>
              <w:pStyle w:val="TableContents"/>
              <w:bidi w:val="0"/>
              <w:spacing w:before="0" w:after="0"/>
              <w:jc w:val="left"/>
              <w:rPr/>
            </w:pPr>
            <w:r>
              <w:rPr/>
              <w:t>Item 14.</w:t>
            </w:r>
          </w:p>
        </w:tc>
        <w:tc>
          <w:tcPr>
            <w:tcW w:w="8442" w:type="dxa"/>
            <w:tcBorders/>
            <w:vAlign w:val="center"/>
          </w:tcPr>
          <w:p>
            <w:pPr>
              <w:pStyle w:val="TableContents"/>
              <w:bidi w:val="0"/>
              <w:spacing w:before="0" w:after="0"/>
              <w:jc w:val="left"/>
              <w:rPr/>
            </w:pPr>
            <w:hyperlink w:anchor="PrincipalAccountantFeesan">
              <w:r>
                <w:rPr>
                  <w:rStyle w:val="InternetLink"/>
                </w:rPr>
                <w:t>Principal Accountant Fees and Services</w:t>
              </w:r>
            </w:hyperlink>
          </w:p>
        </w:tc>
        <w:tc>
          <w:tcPr>
            <w:tcW w:w="576" w:type="dxa"/>
            <w:tcBorders/>
            <w:vAlign w:val="center"/>
          </w:tcPr>
          <w:p>
            <w:pPr>
              <w:pStyle w:val="TableContents"/>
              <w:bidi w:val="0"/>
              <w:spacing w:before="0" w:after="283"/>
              <w:jc w:val="right"/>
              <w:rPr/>
            </w:pPr>
            <w:r>
              <w:rPr/>
              <w:t>84</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b/>
              </w:rPr>
            </w:pPr>
            <w:r>
              <w:rPr>
                <w:b/>
              </w:rPr>
              <w:t>PART IV</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pPr>
            <w:r>
              <w:rPr/>
              <w:t>Item 15.</w:t>
            </w:r>
          </w:p>
        </w:tc>
        <w:tc>
          <w:tcPr>
            <w:tcW w:w="8442" w:type="dxa"/>
            <w:tcBorders/>
            <w:shd w:fill="CCEEFF" w:val="clear"/>
            <w:vAlign w:val="center"/>
          </w:tcPr>
          <w:p>
            <w:pPr>
              <w:pStyle w:val="TableContents"/>
              <w:bidi w:val="0"/>
              <w:spacing w:before="0" w:after="0"/>
              <w:jc w:val="left"/>
              <w:rPr/>
            </w:pPr>
            <w:hyperlink w:anchor="ExhibitsandFinancialState">
              <w:r>
                <w:rPr>
                  <w:rStyle w:val="InternetLink"/>
                </w:rPr>
                <w:t>Exhibits and Financial Statement Schedules</w:t>
              </w:r>
            </w:hyperlink>
          </w:p>
        </w:tc>
        <w:tc>
          <w:tcPr>
            <w:tcW w:w="576" w:type="dxa"/>
            <w:tcBorders/>
            <w:shd w:fill="CCEEFF" w:val="clear"/>
            <w:vAlign w:val="center"/>
          </w:tcPr>
          <w:p>
            <w:pPr>
              <w:pStyle w:val="TableContents"/>
              <w:bidi w:val="0"/>
              <w:spacing w:before="0" w:after="283"/>
              <w:jc w:val="right"/>
              <w:rPr/>
            </w:pPr>
            <w:r>
              <w:rPr/>
              <w:t>85</w:t>
            </w:r>
          </w:p>
        </w:tc>
      </w:tr>
      <w:tr>
        <w:trPr/>
        <w:tc>
          <w:tcPr>
            <w:tcW w:w="1187" w:type="dxa"/>
            <w:tcBorders/>
            <w:vAlign w:val="center"/>
          </w:tcPr>
          <w:p>
            <w:pPr>
              <w:pStyle w:val="TableContents"/>
              <w:bidi w:val="0"/>
              <w:spacing w:before="0" w:after="0"/>
              <w:jc w:val="left"/>
              <w:rPr/>
            </w:pPr>
            <w:r>
              <w:rPr/>
              <w:t>Item 16.</w:t>
            </w:r>
          </w:p>
        </w:tc>
        <w:tc>
          <w:tcPr>
            <w:tcW w:w="8442" w:type="dxa"/>
            <w:tcBorders/>
            <w:vAlign w:val="center"/>
          </w:tcPr>
          <w:p>
            <w:pPr>
              <w:pStyle w:val="TableContents"/>
              <w:bidi w:val="0"/>
              <w:spacing w:before="0" w:after="0"/>
              <w:jc w:val="left"/>
              <w:rPr/>
            </w:pPr>
            <w:hyperlink w:anchor="Form10-KSummary">
              <w:r>
                <w:rPr>
                  <w:rStyle w:val="InternetLink"/>
                </w:rPr>
                <w:t>Form 10-K Summary</w:t>
              </w:r>
            </w:hyperlink>
          </w:p>
        </w:tc>
        <w:tc>
          <w:tcPr>
            <w:tcW w:w="576" w:type="dxa"/>
            <w:tcBorders/>
            <w:vAlign w:val="center"/>
          </w:tcPr>
          <w:p>
            <w:pPr>
              <w:pStyle w:val="TableContents"/>
              <w:bidi w:val="0"/>
              <w:spacing w:before="0" w:after="283"/>
              <w:jc w:val="right"/>
              <w:rPr/>
            </w:pPr>
            <w:r>
              <w:rPr/>
              <w:t>86</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pPr>
            <w:hyperlink w:anchor="SIGNATURES">
              <w:r>
                <w:rPr>
                  <w:rStyle w:val="InternetLink"/>
                </w:rPr>
                <w:t>Signatures</w:t>
              </w:r>
            </w:hyperlink>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87</w:t>
            </w:r>
          </w:p>
        </w:tc>
      </w:tr>
      <w:tr>
        <w:trPr/>
        <w:tc>
          <w:tcPr>
            <w:tcW w:w="1187" w:type="dxa"/>
            <w:tcBorders/>
            <w:shd w:fill="CCEEFF" w:val="clear"/>
            <w:vAlign w:val="center"/>
          </w:tcPr>
          <w:p>
            <w:pPr>
              <w:pStyle w:val="TableContents"/>
              <w:bidi w:val="0"/>
              <w:spacing w:before="0" w:after="0"/>
              <w:jc w:val="left"/>
              <w:rPr/>
            </w:pPr>
            <w:hyperlink w:anchor="ScheduleII">
              <w:r>
                <w:rPr>
                  <w:rStyle w:val="InternetLink"/>
                </w:rPr>
                <w:t>Schedule II</w:t>
              </w:r>
            </w:hyperlink>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88</w:t>
            </w:r>
          </w:p>
        </w:tc>
      </w:tr>
      <w:tr>
        <w:trPr/>
        <w:tc>
          <w:tcPr>
            <w:tcW w:w="1187" w:type="dxa"/>
            <w:tcBorders/>
            <w:vAlign w:val="center"/>
          </w:tcPr>
          <w:p>
            <w:pPr>
              <w:pStyle w:val="TableContents"/>
              <w:bidi w:val="0"/>
              <w:spacing w:before="0" w:after="0"/>
              <w:jc w:val="left"/>
              <w:rPr/>
            </w:pPr>
            <w:hyperlink w:anchor="ScheduleIII">
              <w:r>
                <w:rPr>
                  <w:rStyle w:val="InternetLink"/>
                </w:rPr>
                <w:t>Schedule III</w:t>
              </w:r>
            </w:hyperlink>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91</w:t>
            </w:r>
          </w:p>
        </w:tc>
      </w:tr>
      <w:tr>
        <w:trPr/>
        <w:tc>
          <w:tcPr>
            <w:tcW w:w="1187" w:type="dxa"/>
            <w:tcBorders/>
            <w:shd w:fill="CCEEFF" w:val="clear"/>
            <w:vAlign w:val="center"/>
          </w:tcPr>
          <w:p>
            <w:pPr>
              <w:pStyle w:val="TableContents"/>
              <w:bidi w:val="0"/>
              <w:spacing w:before="0" w:after="0"/>
              <w:jc w:val="left"/>
              <w:rPr/>
            </w:pPr>
            <w:hyperlink w:anchor="ScheduleIV">
              <w:r>
                <w:rPr>
                  <w:rStyle w:val="InternetLink"/>
                </w:rPr>
                <w:t>Schedule IV</w:t>
              </w:r>
            </w:hyperlink>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93</w:t>
            </w:r>
          </w:p>
        </w:tc>
      </w:tr>
      <w:tr>
        <w:trPr/>
        <w:tc>
          <w:tcPr>
            <w:tcW w:w="1187" w:type="dxa"/>
            <w:tcBorders/>
            <w:vAlign w:val="center"/>
          </w:tcPr>
          <w:p>
            <w:pPr>
              <w:pStyle w:val="TableContents"/>
              <w:bidi w:val="0"/>
              <w:spacing w:before="0" w:after="0"/>
              <w:jc w:val="left"/>
              <w:rPr/>
            </w:pPr>
            <w:hyperlink w:anchor="ScheduleVI">
              <w:r>
                <w:rPr>
                  <w:rStyle w:val="InternetLink"/>
                </w:rPr>
                <w:t>Schedule VI</w:t>
              </w:r>
            </w:hyperlink>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94</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Introductory Note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Atlantic American Corporation (the "Company") is filing this Amendment No. 1 on Form 10-K/A (this “Amendment No. 1”) to its Annual Report on Form 10-K for the fiscal year ended December 31, 2025 filed with the Securities Exchange Commission (the “SEC”) on October 16, 2026 (the “Original Form 10-K”) solely for the purposes of (i) inserting the signature to the Report of Independent Registered Public Accounting Firm contained in Item 8 of this Annual Report on Form 10-K, which was inadvertently omitted, and (ii) filing a revised Consent of Independent Registered Public Accounting Firm, which is attached hereto as Exhibit 23.1, to include a corrected reference to the date of the reports dated October 16, 2026 referenced therein.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Pursuant to Rule 12b-15 under the Securities Exchange Act of 1934, as amended, this Amendment No. 1 also contains new certifications pursuant to Sections 302 and 906 of the Sarbanes-Oxley Act of 2002, which are attached hereto.</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Except as otherwise expressly noted herein, this Amendment No. 1 does not modify, amend, or update in any way the Original Form 10-K, nor does it reflect events occurring after the filing of the Original Form 10-K.</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pPr>
      <w:bookmarkStart w:id="17" w:name="EXPLANATORYNOTE"/>
      <w:bookmarkEnd w:id="17"/>
      <w:r>
        <w:rPr/>
        <w:t> </w:t>
      </w:r>
    </w:p>
    <w:p>
      <w:pPr>
        <w:pStyle w:val="TextBody"/>
        <w:bidi w:val="0"/>
        <w:spacing w:before="0" w:after="0"/>
        <w:jc w:val="center"/>
        <w:rPr>
          <w:rFonts w:ascii="Times New Roman" w:hAnsi="Times New Roman"/>
          <w:b/>
          <w:sz w:val="20"/>
        </w:rPr>
      </w:pPr>
      <w:r>
        <w:rPr>
          <w:rFonts w:ascii="Times New Roman" w:hAnsi="Times New Roman"/>
          <w:b/>
          <w:sz w:val="20"/>
        </w:rPr>
        <w:t>EXPLANATORY NOTE</w:t>
      </w:r>
    </w:p>
    <w:p>
      <w:pPr>
        <w:pStyle w:val="TextBody"/>
        <w:bidi w:val="0"/>
        <w:spacing w:before="0" w:after="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Adoption of LDTI</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disclosed in Atlantic American Corporation’s (the “Company”) Form 12b-25 filed on April 1, 2026, Form 12b-25 filed with the Securities and Exchange Commission (“SEC”) on May 18, 2026 and Form 12b-25 filed on August 17, 2026, the Company was unable to file this Annual Report on Form 10-K for the year ended December 31, 2025 (this “Form 10-K”), its Quarterly Report on Form 10-Q for the quarterly period ended March 31, 2026, and its Quarterly Report on Form 10-Q for the quarterly period ended June 30, 2026 (collectively, the “Delinquent Reports”), respectively, within the prescribed time periods because the Company required additional time to compile and analyze all requisite financial information, and the supporting documentation required by the recently adopted Accounting Standards Update (“ASU”) No. 2018</w:t>
        <w:noBreakHyphen/>
        <w:t>12, Financial Services—Insurance (Topic 944): </w:t>
      </w:r>
      <w:r>
        <w:rPr>
          <w:rFonts w:ascii="Times New Roman" w:hAnsi="Times New Roman"/>
          <w:i/>
          <w:sz w:val="20"/>
        </w:rPr>
        <w:t>Targeted Improvements to the Accounting for Long-Duration Contracts</w:t>
      </w:r>
      <w:r>
        <w:rPr>
          <w:rFonts w:ascii="Times New Roman" w:hAnsi="Times New Roman"/>
          <w:sz w:val="20"/>
        </w:rPr>
        <w:t>, as subsequently amended by ASU Nos. 2019-09, 2020-11 and 2022-05 (“LDTI”), in order to complete the Delinquent Reports and to permit the Company’s independent registered public accounting firm to complete its audit procedures.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described elsewhere in this Form 10-K, the Company applied LDTI using the modified retrospective transition method as of January 1, 2024 (the “Transition Date”) to its whole life, Medicare Supplement and certain guaranteed-renewable accident and health insurance products. Accordingly, certain amounts previously reported as of and for the year ended December 31, 2024 have been restated within this Form 10-K to conform with the current year accounting and presentation as a result of the Company’s required adoption of LDTI. Refer to Note 1 of Notes to Consolidated Financial Statements for more information regarding the Company’s adoption of LDTI and the related impact to the consolidated financial statements.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Revision of Previously Issued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connection with the preparation of the Company’s consolidated financial statements for the year ended December 31, 2025, management identified errors relating to the recognition of due-premium receivables and related premium revenue within the Company’s group whole life and group accident and health business. Management concluded that the errors were not material, individually or in the aggregate, to the Company’s previously issued consolidated financial statements as of and for the year ended December 31, 2024. Management further concluded that correcting the cumulative errors entirely in the consolidated statement of operations for the year ended December 31, 2025 would result in a material misstatement of the Company’s 2025 results of operations. Accordingly, the Company has revised the 2024 financial information presented in this Form 10-K to reflect the correction of the errors in the appropriate prior periods.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revisions did not change management’s conclusion that the Company’s previously issued annual or interim financial statements were fairly presented, in all material respects, in accordance with accounting principles generally accepted in the United States. As a result, the Company has not filed, and does not intend to file, any amendment to its previously filed Annual Report on Form 10-K for the year ended December 31, 2024. Refer to Note 1 of Notes to Consolidated Financial Statements for more information and for a reconciliation of the amounts previously reported to the amounts as revised. For more information regarding the impact on our financial results, refer to Item 7, “Management’s Discussion and Analysis of Financial Condition and Results of Operations.”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Material Weaknesses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connection with the foregoing and the related evaluations of the Company’s internal control over financial reporting, the Company’s management identified certain deficiencies in internal control over financial reporting that management has determined rise to the level of material weaknesses, and management has initiated changes designed to remediate those material weaknesses during the periods covered by the Delinquent Reports. For more information, see Part II, Item 9A. “Controls and Procedures” in this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Nasdaq Noncompliance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previously disclosed, the Company has received notices from The Nasdaq Stock Market LLC (“Nasdaq”) stating that because the Company had not yet filed the Delinquent Reports, the Company is not in compliance with Nasdaq Listing Rule 5250(c)(1) (the “Rule”). The Rule requires listed companies to timely file all required periodic financial reports with the SEC. Following the Company’s timely submission of a compliance plan, Nasdaq informed the Company that it was granted an extension until October 12, 2026 to regain compliance with the Rule. The Company expects that it will receive a staff delisting determination from Nasdaq due to its inability to file each of the Delinquent Reports by such date. While the Company intends to appeal such determination to a Nasdaq Hearings Panel, an appeal may not be successful in preventing the suspension of trading, or delisting of, the Company’s common stock from Nasdaq. The Company continues to work diligently toward filing the remaining Delinquent Reports and regaining compliance with the Rule as promptly as practicable.</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b/>
          <w:sz w:val="20"/>
        </w:rPr>
      </w:pPr>
      <w:bookmarkStart w:id="18" w:name="Forward-Looking_Statements"/>
      <w:bookmarkEnd w:id="18"/>
      <w:r>
        <w:rPr>
          <w:rFonts w:ascii="Times New Roman" w:hAnsi="Times New Roman"/>
          <w:b/>
          <w:sz w:val="20"/>
        </w:rPr>
        <w:t>FORWARD-LOOKING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of the statements contained or incorporated by reference herein are forward-looking statements within the meaning of the federal securities laws. Forward-looking statements are all statements other than those of historical fact, and can generally be identified by the use of forward-looking terminology, including the words “believes,” “expects,” “may,” “will,” “should,” “could,” “seeks,” “intends,” “plans,” “projects,” “estimates,” “anticipates,” “predicts,” “potential,” or “continue,” or the negative of these words or comparable terminology.   These forward-looking statements are made pursuant to the safe harbor provisions of the Private Securities Litigation Reform Act of 1995, Section 27A of the Securities Act of 1933, and Section 21E of the Securities Exchange Act of 1934, and include estimates and assumptions related to, among other things, general economic, competitive, operational and legislative developments, expectations and trends. Forward-looking statements are inherently subject to risks and uncertainties which are, in many instances, beyond the Company’s control and have been made based upon management’s current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 Actual results could differ materially from those expressed by forward-looking statements, depending on the occurrence or outcome of various factors. These factors include, among others: our ability to regain compliance with Nasdaq listing standards and maintain the listing of our common stock; the effects of macroeconomic conditions and general economic uncertainty; unexpected developments in the health care or insurance industries affecting providers or individuals, including the cost or availability of services, or the tax consequences related thereto; disruption to the financial markets; unanticipated increases in the rate, number and amounts of claims outstanding; our ability to remediate the identified material weaknesses in our internal control over financial reporting, and the risk that additional material weaknesses or significant deficiencies may be identified in the future; the level of performance of reinsurance companies under reinsurance contracts and the availability, pricing and adequacy of reinsurance to protect the Company against losses; the ability of the Company’s insurance subsidiaries to comply with applicable regulatory requirements in the jurisdictions in which they do business; the inherent uncertainty associated with actuarial methodologies, assumptions and estimates used in connection with our business; our ability to satisfy and maintain compliance with the financial covenants under our credit facility; changes in the stock markets, interest rates or other financial markets, including the potential effect on the Company’s statutory capital levels; the uncertain effect on the Company of regulatory and market-driven changes in practices relating to the payment of incentive compensation to brokers, agents and other producers; the potential impact of public health emergencies; the incidence and severity of catastrophes, both natural and man-made; the possible occurrence of terrorist attacks; stronger than anticipated competitive activity; unfavorable judicial or legislative developments; the potential effect of regulatory developments, including those which could increase the Company’s business costs and required capital levels; the Company’s ability to distribute its products through distribution channels, both current and future; the uncertain effect of emerging claim and coverage issues; the effect of assessments and other surcharges for guaranty funds and other mandatory pooling arrangements; information technology system failures or network disruptions; and risks related to cybersecurity matters, such as breaches of our computer network or those of other parties or the loss of or unauthorized access to the data we maintain. As a result, undue reliance should not be placed upon forward-looking statements, which speak only as of the date they are made. The Company undertakes no obligation to publicly update any forward-looking statements as a result of subsequent developments, changes in underlying assumptions or facts or otherwise, except as may be required by law.</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ae9806532c6747508d6feeedc64c24bc"/>
      <w:bookmarkStart w:id="20" w:name="Business"/>
      <w:bookmarkStart w:id="21" w:name="zae9806532c6747508d6feeedc64c24bc"/>
      <w:bookmarkStart w:id="22" w:name="Business"/>
      <w:bookmarkEnd w:id="21"/>
      <w:bookmarkEnd w:id="22"/>
    </w:p>
    <w:tbl>
      <w:tblPr>
        <w:tblW w:w="1735" w:type="dxa"/>
        <w:jc w:val="left"/>
        <w:tblInd w:w="0" w:type="dxa"/>
        <w:tblLayout w:type="fixed"/>
        <w:tblCellMar>
          <w:top w:w="0" w:type="dxa"/>
          <w:left w:w="0" w:type="dxa"/>
          <w:bottom w:w="0" w:type="dxa"/>
          <w:right w:w="0" w:type="dxa"/>
        </w:tblCellMar>
      </w:tblPr>
      <w:tblGrid>
        <w:gridCol w:w="770"/>
        <w:gridCol w:w="965"/>
      </w:tblGrid>
      <w:tr>
        <w:trPr/>
        <w:tc>
          <w:tcPr>
            <w:tcW w:w="770" w:type="dxa"/>
            <w:tcBorders/>
            <w:vAlign w:val="center"/>
          </w:tcPr>
          <w:p>
            <w:pPr>
              <w:pStyle w:val="TableContents"/>
              <w:bidi w:val="0"/>
              <w:spacing w:before="0" w:after="283"/>
              <w:jc w:val="left"/>
              <w:rPr>
                <w:b/>
              </w:rPr>
            </w:pPr>
            <w:r>
              <w:rPr>
                <w:b/>
              </w:rPr>
              <w:t>Item 1.</w:t>
            </w:r>
          </w:p>
        </w:tc>
        <w:tc>
          <w:tcPr>
            <w:tcW w:w="965"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bookmarkStart w:id="23" w:name="TheCompany"/>
      <w:bookmarkEnd w:id="23"/>
      <w:r>
        <w:rPr>
          <w:rFonts w:ascii="Times New Roman" w:hAnsi="Times New Roman"/>
          <w:b/>
          <w:sz w:val="20"/>
        </w:rPr>
        <w:t>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American Corporation, a Georgia corporation incorporated in 1968 (the “Parent” or “Company”), is a holding company that operates through its subsidiaries in well-defined specialty markets within the life and health and property and casualty insurance industries. The Parent’s principal operating subsidiaries are American Southern Insurance Company and American Safety Insurance Company (together known as “American Southern”) within the property and casualty insurance industry and Bankers Fidelity Life Insurance Company, Bankers Fidelity Assurance Company and Atlantic Capital Life Assurance Company (together known as “Bankers Fidelity”) within the life and health insurance industry. Each of American Southern and Bankers Fidelity is managed separately based upon the type of products it offers and is evaluated on its individual performance. The Company’s strategy is to focus on well-defined geographic, demographic and/or product niches within the insurance marketplace. Each of American Southern and Bankers Fidelity operates with relative autonomy, which structure is designed to allow for quick reaction to market opportunities.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 has no significant business operations of its own and relies on fees, dividends and other distributions from its operating subsidiaries as the principal source of cash flow to meet its obligations. Additional information regarding the cash flow and liquidity needs of the Parent can be found in the Liquidity and Capital Resources section of Management’s Discussion and Analysis of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comprises the Company’s property and casualty operations and its primary product lines are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Commercial Automobile Insurance</w:t>
      </w:r>
      <w:r>
        <w:rPr>
          <w:rFonts w:ascii="Times New Roman" w:hAnsi="Times New Roman"/>
          <w:sz w:val="20"/>
        </w:rPr>
        <w:t xml:space="preserve"> policies provide bodily injury and/or property damage liability coverage, uninsured motorist coverage and physical damage coverage for commercial accounts.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General Liability Insurance</w:t>
      </w:r>
      <w:r>
        <w:rPr>
          <w:rFonts w:ascii="Times New Roman" w:hAnsi="Times New Roman"/>
          <w:sz w:val="20"/>
        </w:rPr>
        <w:t xml:space="preserve"> policies cover bodily injury and/or property damage liability for both premises and completed operations exposures for general classes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Surety Bonds</w:t>
      </w:r>
      <w:r>
        <w:rPr>
          <w:rFonts w:ascii="Times New Roman" w:hAnsi="Times New Roman"/>
          <w:sz w:val="20"/>
        </w:rPr>
        <w:t xml:space="preserve"> are contracts under which one party, the insurance company issuing the surety bond, guarantees to a third party that the primary party will fulfill an obligation in accordance with a contractual agreement. This obligation may involve meeting a contractual commitment, paying a debt or performing certain duties.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i/>
          <w:sz w:val="20"/>
          <w:u w:val="single"/>
        </w:rPr>
        <w:t>Inland Marine</w:t>
      </w:r>
      <w:r>
        <w:rPr>
          <w:rFonts w:ascii="Times New Roman" w:hAnsi="Times New Roman"/>
          <w:sz w:val="20"/>
        </w:rPr>
        <w:t xml:space="preserve"> policies provide motor truck cargo coverage for commercial accounts.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provides tailored commercial automobile insurance coverage, on a multi-year contract basis, to state governments, local municipalities and other large motor pools and fleets (“block accounts”) that can be specifically rated and underwritten. The size of the block accounts insured by American Southern are generally such that individual class experience can be determined, which allows for customized policy terms and rates. American Southern is licensed to do business in 32 states and the District of Columbia. While the majority of American Southern’s premiums are derived from its automobile lines of business, American Southern also offers general liability and other lines such as inland marine coverage. Additionally, American Southern directly provides surety bond coverage for subdivision construction, school bus contracts, as well as performance and payment bonds.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the allocation of American Southern’s net earned premiums from each of its principal product lines: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15a1263607784e30b6ffe366d509addb"/>
      <w:bookmarkStart w:id="25" w:name="z15a1263607784e30b6ffe366d509addb"/>
      <w:bookmarkEnd w:id="25"/>
    </w:p>
    <w:tbl>
      <w:tblPr>
        <w:tblW w:w="5766" w:type="dxa"/>
        <w:jc w:val="left"/>
        <w:tblInd w:w="0" w:type="dxa"/>
        <w:tblLayout w:type="fixed"/>
        <w:tblCellMar>
          <w:top w:w="0" w:type="dxa"/>
          <w:left w:w="0" w:type="dxa"/>
          <w:bottom w:w="0" w:type="dxa"/>
          <w:right w:w="0" w:type="dxa"/>
        </w:tblCellMar>
      </w:tblPr>
      <w:tblGrid>
        <w:gridCol w:w="2810"/>
        <w:gridCol w:w="90"/>
        <w:gridCol w:w="240"/>
        <w:gridCol w:w="1006"/>
        <w:gridCol w:w="127"/>
        <w:gridCol w:w="127"/>
        <w:gridCol w:w="240"/>
        <w:gridCol w:w="1006"/>
        <w:gridCol w:w="120"/>
      </w:tblGrid>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Automobile liability</w:t>
            </w:r>
          </w:p>
        </w:tc>
        <w:tc>
          <w:tcPr>
            <w:tcW w:w="9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49,640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39,788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Automobile physical damage</w:t>
            </w:r>
          </w:p>
        </w:tc>
        <w:tc>
          <w:tcPr>
            <w:tcW w:w="9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16,515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13,464</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General liability</w:t>
            </w:r>
          </w:p>
        </w:tc>
        <w:tc>
          <w:tcPr>
            <w:tcW w:w="9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6,121</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5,990</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Surety</w:t>
            </w:r>
          </w:p>
        </w:tc>
        <w:tc>
          <w:tcPr>
            <w:tcW w:w="9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5,178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5,809</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Inland marine</w:t>
            </w:r>
          </w:p>
        </w:tc>
        <w:tc>
          <w:tcPr>
            <w:tcW w:w="90" w:type="dxa"/>
            <w:tcBorders/>
            <w:shd w:fill="CCEEFF" w:val="clear"/>
            <w:vAlign w:val="bottom"/>
          </w:tcPr>
          <w:p>
            <w:pPr>
              <w:pStyle w:val="TableContents"/>
              <w:bidi w:val="0"/>
              <w:spacing w:before="0" w:after="283"/>
              <w:jc w:val="righ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7,050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2,638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righ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84,504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67,689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left"/>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comprises the life and health operations of the Company and offers a variety of life and supplemental health products. Products offered by Bankers Fidelity include ordinary life insurance, Medicare Supplement and other accident and health insurance products.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Life Insurance</w:t>
      </w:r>
      <w:r>
        <w:rPr>
          <w:rFonts w:ascii="Times New Roman" w:hAnsi="Times New Roman"/>
          <w:sz w:val="20"/>
        </w:rPr>
        <w:t xml:space="preserve"> products include non-participating, individual and group whole life insurance policies with a variety of riders and options. Policy premiums depend on several factors, including but not limited to issue age, level of coverage and any selected riders or options.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Medicare Supplement Insurance</w:t>
      </w:r>
      <w:r>
        <w:rPr>
          <w:rFonts w:ascii="Times New Roman" w:hAnsi="Times New Roman"/>
          <w:sz w:val="20"/>
        </w:rPr>
        <w:t xml:space="preserve"> includes 8 of the 10 standardized Medicare Supplement plans that were developed in response to the requirements of the Omnibus Budget Reconciliation Act of 1990. These policies provide insurance coverage for certain expenses not covered by the Medicare program, including but not limited to, copayments and deductibles.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Other Accident and Health Insurance</w:t>
      </w:r>
      <w:r>
        <w:rPr>
          <w:rFonts w:ascii="Times New Roman" w:hAnsi="Times New Roman"/>
          <w:sz w:val="20"/>
        </w:rPr>
        <w:t xml:space="preserve"> coverages include several individual and group policies providing for the payment of benefits that help defray the health care and other costs associated with the treatment of cancer and other critical illnesses. In addition, Bankers Fidelity offers policies that reimburse the costs associated with short-term nursing facility care, policies that provide monthly benefits in the event of a covered disability, and policies that provide cash benefits in the event of a covered accident or a covered hospital stay.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Health insurance products, primarily Medicare Supplement insurance, accounted for 84% of Bankers Fidelity’s net earned premiums in 2025 while life insurance, including both whole and term life insurance policies, accounted for the balance. In terms of the number of policies written in 2025, 83% were health insurance policies and 17% were life insurance policies.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the allocation of Bankers Fidelity’s net earned premiums from each of its principal product lines: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c179704e608d4b46ab778019a5f91d85"/>
      <w:bookmarkStart w:id="27" w:name="zc179704e608d4b46ab778019a5f91d85"/>
      <w:bookmarkEnd w:id="27"/>
    </w:p>
    <w:tbl>
      <w:tblPr>
        <w:tblW w:w="5498" w:type="dxa"/>
        <w:jc w:val="left"/>
        <w:tblInd w:w="0" w:type="dxa"/>
        <w:tblLayout w:type="fixed"/>
        <w:tblCellMar>
          <w:top w:w="0" w:type="dxa"/>
          <w:left w:w="0" w:type="dxa"/>
          <w:bottom w:w="0" w:type="dxa"/>
          <w:right w:w="0" w:type="dxa"/>
        </w:tblCellMar>
      </w:tblPr>
      <w:tblGrid>
        <w:gridCol w:w="2540"/>
        <w:gridCol w:w="90"/>
        <w:gridCol w:w="214"/>
        <w:gridCol w:w="1047"/>
        <w:gridCol w:w="113"/>
        <w:gridCol w:w="113"/>
        <w:gridCol w:w="214"/>
        <w:gridCol w:w="1047"/>
        <w:gridCol w:w="120"/>
      </w:tblGrid>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20"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0"/>
              <w:jc w:val="center"/>
              <w:rPr/>
            </w:pPr>
            <w:r>
              <w:rPr/>
              <w:t>(Restated)</w:t>
            </w:r>
          </w:p>
        </w:tc>
        <w:tc>
          <w:tcPr>
            <w:tcW w:w="120"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jc w:val="left"/>
              <w:rPr/>
            </w:pPr>
            <w:r>
              <w:rPr/>
              <w:t>Group life</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12,559</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14,270</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jc w:val="left"/>
              <w:rPr/>
            </w:pPr>
            <w:r>
              <w:rPr/>
              <w:t>Individual life</w:t>
            </w:r>
          </w:p>
        </w:tc>
        <w:tc>
          <w:tcPr>
            <w:tcW w:w="9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5,600</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5,922</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180" w:right="0" w:hanging="0"/>
              <w:jc w:val="left"/>
              <w:rPr/>
            </w:pPr>
            <w:r>
              <w:rPr/>
              <w:t>Total life</w:t>
            </w:r>
          </w:p>
        </w:tc>
        <w:tc>
          <w:tcPr>
            <w:tcW w:w="90"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18,159</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20,192</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jc w:val="left"/>
              <w:rPr/>
            </w:pPr>
            <w:r>
              <w:rPr/>
              <w:t>Medicare Supplement</w:t>
            </w:r>
          </w:p>
        </w:tc>
        <w:tc>
          <w:tcPr>
            <w:tcW w:w="9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75,360</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71,766</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jc w:val="left"/>
              <w:rPr/>
            </w:pPr>
            <w:r>
              <w:rPr/>
              <w:t>Group accident and health</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9,178</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11,469</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jc w:val="left"/>
              <w:rPr/>
            </w:pPr>
            <w:r>
              <w:rPr/>
              <w:t>Other individual health</w:t>
            </w:r>
          </w:p>
        </w:tc>
        <w:tc>
          <w:tcPr>
            <w:tcW w:w="9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8,941</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7,472</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180" w:right="0" w:hanging="0"/>
              <w:jc w:val="left"/>
              <w:rPr/>
            </w:pPr>
            <w:r>
              <w:rPr/>
              <w:t>Total health</w:t>
            </w:r>
          </w:p>
        </w:tc>
        <w:tc>
          <w:tcPr>
            <w:tcW w:w="90"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93,479</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90,707</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ind w:left="360" w:right="0" w:hanging="0"/>
              <w:jc w:val="left"/>
              <w:rPr/>
            </w:pPr>
            <w:r>
              <w:rPr/>
              <w:t>Total</w:t>
            </w:r>
          </w:p>
        </w:tc>
        <w:tc>
          <w:tcPr>
            <w:tcW w:w="90"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111,638</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110,899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28" w:name="Marketing"/>
      <w:bookmarkEnd w:id="28"/>
      <w:r>
        <w:rPr>
          <w:rFonts w:ascii="Times New Roman" w:hAnsi="Times New Roman"/>
          <w:b/>
          <w:sz w:val="20"/>
        </w:rPr>
        <w:t>Marketing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portion of American Southern’s business is marketed through a small number of specialized, experienced independent agents. American Southern’s agent selection process is actively managed by internal marketing personnel with oversight from management. Senior management carefully reviews all new programs prior to acceptance. Most of American Southern’s agents are paid an up-front commission with the potential for additional commissions by participating in a profit sharing arrangement that is directly linked to the profitability of the underlying business. American Southern also solicits business from governmental entities. As an experienced writer of insurance policies for certain governmental programs, the company actively pursues this market on a direct basis. Much of this business is priced by means of competitive bid situations. As a result, there can be no assurance with respect to the ultimate profitability or ability of the Company to obtain or retain such business at the time of a specific contract renewal.</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acquires its clientele through three distribution channels spread across 46 different states and two business divisions, all of which utilize commissioned, independent agents. The three distribution channels include traditional independent agents, brokers who are typically interested in a specific product of Bankers Fidelity and brokers who focus on sales within the group/employer benefits division, Atlantic American Employee Benefits, all of which are responsible for their own marketing and sales activities. Contracting as independent agents enables Bankers Fidelity to effectively expand or contract its sales force without incurring significant expense.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had approximately 6,565 licensed agents contracted in both the individual and group divisions as of December 31, 2025. During 2025, approximately 3,094 of these licensed agents wrote policies on behalf of Bankers Fidelity.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Fidelity’s marketing and distribution strategy revolves around five pillars: Diversification, Differentiation, Quality, Retention and Profitability.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Diversification</w:t>
      </w:r>
      <w:r>
        <w:rPr>
          <w:rFonts w:ascii="Times New Roman" w:hAnsi="Times New Roman"/>
          <w:sz w:val="20"/>
        </w:rPr>
        <w:t>. Through unique product offerings such as the Vantage Flex Plus®, a hospital indemnity plan, and Vantage Recovery®, a short-term care product and a group whole life product featuring a chronic illness rider, the Company is able to offer its distributors an array of products to sell that stand out from the competition. As the Company continues to expand its geographical footprint with agents and products, one of its main objectives is to have a healthy mix of all of its product lines nationwide.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Differentiation</w:t>
      </w:r>
      <w:r>
        <w:rPr>
          <w:rFonts w:ascii="Times New Roman" w:hAnsi="Times New Roman"/>
          <w:sz w:val="20"/>
        </w:rPr>
        <w:t>. Bankers Fidelity prides itself on the quality of customer service it offers to policyholders and agents. A dedicated agent support team is available to the field to support them in administration, underwriting, sales training, product questions and a plethora of other services which differentiates the Company from other carriers. Additionally, a customer loyalty team is available solely to serve insureds for any of their insurance needs. Bankers Fidelity prides itself on being agile, which we believe differentiates us from larger carriers and helps the Company to quickly execute senior management’s initiatives.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Quality</w:t>
      </w:r>
      <w:r>
        <w:rPr>
          <w:rFonts w:ascii="Times New Roman" w:hAnsi="Times New Roman"/>
          <w:sz w:val="20"/>
        </w:rPr>
        <w:t>. Bankers Fidelity is focused on being a niche carrier that delivers superior service, quality products and innovative solutions. Sophisticated technology and reporting allows the home office teams to work with the sales force to deliver a tailored experience and phenomenal customer service.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Retention.</w:t>
      </w:r>
      <w:r>
        <w:rPr>
          <w:rFonts w:ascii="Times New Roman" w:hAnsi="Times New Roman"/>
          <w:sz w:val="20"/>
        </w:rPr>
        <w:t xml:space="preserve"> Through seasonal campaigns and customer outreach, the Company is focused on client retention and servicing its policyholders through all stages in their lives. By providing its agents with an innovative product portfolio, the Company further promotes client retention by empowering its agents to continually meet the needs of our policyholders.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Profitability</w:t>
      </w:r>
      <w:r>
        <w:rPr>
          <w:rFonts w:ascii="Times New Roman" w:hAnsi="Times New Roman"/>
          <w:sz w:val="20"/>
        </w:rPr>
        <w:t>. In an effort to be sustainable in the marketplace as a long-term partner, senior management is focused on diversification, differentiation, quality and retention to achieve profitability.</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29" w:name="Underwriting"/>
      <w:bookmarkEnd w:id="29"/>
      <w:r>
        <w:rPr>
          <w:rFonts w:ascii="Times New Roman" w:hAnsi="Times New Roman"/>
          <w:b/>
          <w:sz w:val="20"/>
        </w:rPr>
        <w:t>Underwriting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specializes in underwriting various risks that are sufficiently large enough to establish separate class experience, relying upon the underwriting expertise of its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course of the policy life, extensive use is made of risk management representatives to assist commercial underwriters in identifying and correcting potential loss exposures and to physically inspect new accounts. The underwriting results from each insured are reviewed on an individual basis periodically. If results are below expectations, management takes corrective action, which may include adjusting rates, revising underwriting standards, adjusting commissions paid to agents, and/or altering or declining to renew accounts at expiration.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issues a variety of products that span from the group markets to the individual markets for both life and health insurance. Products offered by Bankers Fidelity include life insurance, typically with small face amounts, Medicare Supplement and other accident and health insurance. Bankers Fidelity also provides an array of group products such as accident, cancer, critical illness, hospital indemnity and life insurance that is offered to employers who are looking to provide coverage for their employees and have the related premiums deducted through payroll deductions.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individual products are underwritten on a non-medical basis using a simplified issue approach by which an application containing a variety of health related questions is submitted. Applications for insurance are reviewed to determine the face amount, age, medical history and any other necessary information. Bankers Fidelity utilizes information obtained directly from the insured, the medical claims data, prescription utilization reports as well as telephone interviews to determine whether an applicant meets the Company’s underwriting criteria. Bankers Fidelity may also utilize medical records and investigative services to supplement and substantiate information, as necessary.</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group products are underwritten and assessed at the group level for financial risk. The underwriting will utilize several factors to determine this risk such as the industry, demographics, enrollment strategies, employee access, locations of offices and any regulatory or legislative changes that could impact the decisions. The spread of risk is also reviewed which analyzes the content of the employees within the group which includes the spread of gender, ages, salaries and occupations. This information is used to quote an appropriate benefits package, pricing, waiting periods and rates for the group entity.</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0" w:name="PolicyholderandClaimsServ"/>
      <w:bookmarkEnd w:id="30"/>
      <w:r>
        <w:rPr>
          <w:rFonts w:ascii="Times New Roman" w:hAnsi="Times New Roman"/>
          <w:b/>
          <w:sz w:val="20"/>
        </w:rPr>
        <w:t>Policyholder and Claims Services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believes that prompt, efficient policyholder and claims services are essential to its continued success in marketing its insurance products (see “Competition”). Additionally, the Company believes that its insureds are particularly sensitive to claims processing time and to the accessibility of qualified staff to answer inquiries. Accordingly, the Company’s policyholder and claims services seek to offer expeditious disposition of service requests by providing toll-free access for all customers, 24-hour claim reporting services, and direct computer links with some of its largest accounts. The Company also utilizes an automatic call distribution system designed to ensure that inbound calls to customer service support groups are processed efficiently. Operational data generated from this system allows management to further refine ongoing client service programs and service representative training modules.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controls its claims costs by utilizing an in-house staff of claims supervisors to investigate, verify, negotiate and settle claims. Upon notification of an occurrence purportedly giving rise to a claim, a claim file is established. The claims department then conducts a preliminary investigation, determines whether an insurable event has occurred and, if so, updates the file for the findings and any required reserve adjustments. Independent adjusters and appraisers are frequently utilized to service claims which require on-site inspections.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majority of life and health claims are filed electronically while insureds also have the ability to download claims forms and file directly. Insureds may also obtain claim forms by calling the customer service group or through Bankers Fidelity’s website. All of these claims are entered into the system immediately upon receipt and put into a pending status until the claim can be fully processed. To shorten claim processing time, a letter detailing all supporting documents that are required to complete a claim for a particular policy is sent to the customer along with the correct claim form. Properly documented claims are generally paid within five business days of receipt. With regard to Medicare Supplement policies, the claim is either directly billed to Bankers Fidelity by the provider or sent electronically through a Medicare clearing house.</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1" w:name="Reserves"/>
      <w:bookmarkEnd w:id="31"/>
      <w:r>
        <w:rPr>
          <w:rFonts w:ascii="Times New Roman" w:hAnsi="Times New Roman"/>
          <w:b/>
          <w:sz w:val="20"/>
        </w:rPr>
        <w:t>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Overview</w:t>
      </w:r>
      <w:r>
        <w:rPr>
          <w:rFonts w:ascii="Times New Roman" w:hAnsi="Times New Roman"/>
          <w:sz w:val="20"/>
        </w:rPr>
        <w:t> - The Company establishes insurance reserves by line of business within each insurance subsidiary based on the classification of the underlying products as either short-duration or long-duration in accordance with applicable accounting guidance. The determination of insurance reserves, particularly liabilities for future policy benefits, and the liability for losses and claims, involves significant judgment and estimation uncertainty and are considered critical accounting estimates.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Short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records short-duration property and casualty loss and loss adjustment expense (“LAE”) reserves. Bankers Fidelity records group accident and health policies as short duration.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Long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primarily records reserves for life and health insurance contracts, including liabilities for future policy benefits (“LFPB”) for long-duration contracts. Reserves are determined using actuarial methodologies and assumptions that reflect management’s current best estimate of future experience, without provision for adverse deviation. Key assumptions include mortality, voluntary policyholder terminations and claim costs for accident and health policies and the discount rate. These assumptions are based on Company-specific experience, industry data, and anticipated trends and are reviewed at least annually and updated when they no longer represent management’s best estimates. Actual experience is incorporated into the measurement of reserves each reporting period. Differences between actual and expected experience, as well as impacts related to changes in assumptions, are recognized in earnings. Changes in discount rates for long-duration contracts are recognized in other comprehensive income (“OCI”). Under LDTI, the Company remeasures the LFPB each reporting period to reflect actual experience and current discount rates and updates its cash flow assumptions when its periodic reviews indicate that those assumptions no longer represent management’s best estimates. Due to the inherent uncertainty in estimating insurance liabilities, particularly for long-duration obligations, actual results may differ materially from recorded estimates. See “Management’s Discussion and Analysis of Financial Condition and Results of Operations—Critical Accounting Estimates” for additional discussion.</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Short-duration contracts</w:t>
      </w:r>
      <w:r>
        <w:rPr>
          <w:rFonts w:ascii="Times New Roman" w:hAnsi="Times New Roman"/>
          <w:sz w:val="20"/>
        </w:rPr>
        <w:t>. American Southern maintains short-duration property and casualty loss and claim reserves for unpaid losses and LAE. These reserves include (i) case reserves established through claim-by-claim evaluations for known, reported claims and (ii) incurred but not reported (“IBNR”) reserves, which include estimates for claims not yet reported as well as future development on reported claims. Such reserves are not discounted and represent management’s estimate, based on known facts and circumstances as of the reporting date, of amounts expected to be paid on incurred claims. Reserve estimates are influenced by, among other factors, reported claim counts and severities, paid loss emergence, case reserve adequacy, claim development patterns, expense patterns, and changes in claim settlement practices.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Longer tail exposures.</w:t>
      </w:r>
      <w:r>
        <w:rPr>
          <w:rFonts w:ascii="Times New Roman" w:hAnsi="Times New Roman"/>
          <w:sz w:val="20"/>
        </w:rPr>
        <w:t xml:space="preserve"> Certain coverages (e.g., general liability) are subject to extended reporting and settlement patterns, which may increase estimation uncertainty due to longer development periods and variability in claim outcomes. Management considers these factors in evaluating reserve adequacy.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Short-duration contracts.</w:t>
      </w:r>
      <w:r>
        <w:rPr>
          <w:rFonts w:ascii="Times New Roman" w:hAnsi="Times New Roman"/>
          <w:sz w:val="20"/>
        </w:rPr>
        <w:t xml:space="preserve"> Bankers Fidelity classifies its group accident and health policies (group critical illness, group disability income, group hospital indemnity, and group accident and medical expense) as short duration because Bankers Fidelity may unilaterally terminate coverage at each policy anniversary (and may terminate certain groups of ported certificates subject to statutory notice), such that coverage can be terminated within one year. Liabilities associated with these contracts are recorded as short-duration insurance reserves, including claim liabilities, rather than as long-duration liabilities for future policy benefits.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Long-duration contracts.</w:t>
      </w:r>
      <w:r>
        <w:rPr>
          <w:rFonts w:ascii="Times New Roman" w:hAnsi="Times New Roman"/>
          <w:sz w:val="20"/>
        </w:rPr>
        <w:t xml:space="preserve"> Bankers Fidelity classifies individual and group life policies, Medicare Supplement policies, and other individual accident and health policies as long-duration and records a LFPB. The LFPB is calculated as the present value of expected future benefits and claim-related expenses, less the present value of expected future net premiums, using cohorts that do not span more than one issue year. The locked-in discount rate is the rate established for each cohort and used to calculate interest accretion and measure changes in cash flow assumptions recognized in earnings. For policies issued after January 1, 2024 (“the Transition Date”), the locked- in discount rate is based on the current discount rate in effect during the quarter of issuance, while for policies issued prior to the Transition Date, it reflects the historical expected investment yield at policy issuance. The current discount rate is updated quarterly, with changes from the locked-in discount rate recognized in OCI. Assumptions other than the discount rate reflect management’s current best estimate of future experience and are reviewed at least annually and updated when they no longer represent best estimates. Actual experience replaces projected experience each reporting period (referred to as “retrospective unlocking”) as part of the determination of the LFPB.</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 xml:space="preserve">Assumptions. </w:t>
      </w:r>
      <w:r>
        <w:rPr>
          <w:rFonts w:ascii="Times New Roman" w:hAnsi="Times New Roman"/>
          <w:sz w:val="20"/>
        </w:rPr>
        <w:t>The Net Premium Ratio (“NPR”) is updated each reporting period and capped at 100%, with any excess recognized in earnings as an increase in the LFPB. The LFPB is floored at zero for cohorts where the present value of expected future premiums exceeds expected future benefits. Changes in the LFPB resulting from updates to the current discount rate are recorded in OCI, while the liability presented on the balance sheet reflects the current discount rate. The development of long-duration reserves involves significant judgment due to the long-term nature of the underlying obligations and the sensitivity of the LFPB to changes in assumptions.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See Notes 7 and 8 of Notes to Consolidated Financial Statements for more information on future policy benefits and other insurance reserves and policyholder funds.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2" w:name="Reinsurance"/>
      <w:bookmarkEnd w:id="32"/>
      <w:r>
        <w:rPr>
          <w:rFonts w:ascii="Times New Roman" w:hAnsi="Times New Roman"/>
          <w:b/>
          <w:sz w:val="20"/>
        </w:rPr>
        <w:t>Reinsurance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insurance subsidiaries from time-to-time purchase reinsurance from unaffiliated insurers and reinsurers to reduce their potential liability on individual risks and to protect against catastrophic losses. In a reinsurance transaction, an insurance company transfers, or “cedes,” at least a portion of its exposure on insurance policies to a reinsurer. The reinsurer assumes the exposure in return for a portion of the premiums collected from policyholders. Reinsurance arrangements do not legally discharge the insurer from primary liability for the full amount of the policies written by it, and the ceding company will incur a loss if the reinsurer fails to meet its obligations under the reinsurance agreement. In order to qualify for reinsurance accounting treatment, there must be risk transfer.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American Southern’s basic reinsurance treaties generally cover all claims in excess of specified per occurrence limitations. Limits per occurrence within the reinsurance treaties are as follows: inland marine and automobile physical damage - $225,000 excess of $125,000 retention; and automobile liability and general liability - excess coverage of $2.0 million less retentions that may vary from $100,000 to $700,000 depending on the account. American Southern maintains a property catastrophe treaty with a $5.5 million limit excess of $500,000 retention.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entered into reinsurance contracts ceding the excess of its life retention. The maximum retention by Bankers Fidelity on any one individual life insurance policyholder is $200,000. As of December 31, 2025, $5.7 million of the $1,040.3 million of life insurance in force at Bankers Fidelity was reinsured under a combination of coinsurance and yearly renewable term agreements. Certain prior year reinsurance agreements also remain in force although they no longer provide reinsurance for new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also entered into a reinsurance contract ceding excess new Medicare Supplement business to General Re Life Corporation. Ceding thresholds are set for all policies issued in a given calendar year. During 2025, the liability of the reinsurer was 71% of all Medicare Supplement business issued by the Company that year. This percentage is calculated based on a cession percentage of 50% on amounts of new business of up to $30 million of annualized premium, and 100% of all new Medicare Supplement business in excess of $30.0 million of annualized premiums. Accordingly, $36.9 million of the Company’s $51.9 million of new annualized Medicare Supplement premium was ceded.</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3" w:name="Competition"/>
      <w:bookmarkEnd w:id="33"/>
      <w:r>
        <w:rPr>
          <w:rFonts w:ascii="Times New Roman" w:hAnsi="Times New Roman"/>
          <w:b/>
          <w:sz w:val="20"/>
        </w:rPr>
        <w:t>Competition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Competition for insurance products is based on many factors including premiums charged, terms and conditions of coverage, customer service, financial ratings assigned by independent rating agencies, claims handling, consumer recognition and reputation, perceived financial strength and the experience of the organization in the line of business being written.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businesses in which American Southern engages are highly competitive. The principal areas of competition are pricing and service. Many competing property and casualty companies have been in business longer than American Southern, offer more diversified lines of insurance and have substantially greater financial resources. Management believes, however, that the policies it sells are competitive with those providing similar benefits offered by other insurers doing business in the states in which American Southern operates. American Southern strives to develop strong relationships with its agents and, consequently, believes it is well positioned for new opportunities and programs with those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life and health insurance business remains highly competitive and includes a large number of insurance companies, many of which are new entrants to the business of providing Medicare Supplement and other accident and health insurance products. Bankers Fidelity has established itself as a trusted carrier of choice for its customers providing quality and sustainability for over 65 years.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order to compete, Bankers Fidelity actively seeks opportunities in niche markets, developing long-term relationships with a select number of independent marketing organizations. Additionally, Bankers Fidelity actively promotes Atlantic American Employee Benefits, the group benefits division, as well as selective association partnerships. It competes with other insurers to attract and retain the allegiance of its independent agents through commission and sales incentive arrangements, accessibility and marketing assistance, lead programs, reputation and market expertise. Bankers Fidelity successfully competes in its chosen markets by establishing relationships with independent agents and providing proprietary marketing initiatives as well as providing outstanding service to policyholders.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4" w:name="Ratings"/>
      <w:bookmarkEnd w:id="34"/>
      <w:r>
        <w:rPr>
          <w:rFonts w:ascii="Times New Roman" w:hAnsi="Times New Roman"/>
          <w:b/>
          <w:sz w:val="20"/>
        </w:rPr>
        <w:t>Ratings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Ratings are important measures within the insurance industry, and higher ratings are expected to have a favorable impact on the ability of a company to compete in the marketplace. Ratings of insurance companies are not designed for investors and do not constitute recommendations to buy, sell, or hold any security.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Each year A.M. Best Company, Inc. (“A.M. Best”) publishes Best’s Insurance Reports, which includes assessments and ratings of all insurance companies. A.M. Best’s financial strength ratings, which may be revised or revoked at any time, follow a graduated scale of rating categories and notches ranging from A++ (Superior) to F (in liquidation). A.M. Best’s ratings are based on a detailed analysis of the statutory financial condition and operations of an insurance company compared to the industry in general.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American Southern.</w:t>
      </w:r>
      <w:r>
        <w:rPr>
          <w:rFonts w:ascii="Times New Roman" w:hAnsi="Times New Roman"/>
          <w:sz w:val="20"/>
        </w:rPr>
        <w:t xml:space="preserve"> American Southern Insurance Company and its wholly-owned subsidiary, American Safety Insurance Company, are each, as of the date of this report, rated “A-” (Excellent) by A.M. Best.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Bankers Fidelity.</w:t>
      </w:r>
      <w:r>
        <w:rPr>
          <w:rFonts w:ascii="Times New Roman" w:hAnsi="Times New Roman"/>
          <w:sz w:val="20"/>
        </w:rPr>
        <w:t xml:space="preserve"> Bankers Fidelity Life Insurance Company and its wholly-owned subsidiaries, Bankers Fidelity Assurance Company and Atlantic Capital Life Assurance Company, are each, as of the date of this report, rated “A-” (Excellent) by A.M. Best.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bookmarkStart w:id="35" w:name="Regulation"/>
      <w:bookmarkEnd w:id="35"/>
      <w:r>
        <w:rPr>
          <w:rFonts w:ascii="Times New Roman" w:hAnsi="Times New Roman"/>
          <w:b/>
          <w:sz w:val="20"/>
        </w:rPr>
        <w:t>Regulation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Like all domestic insurance companies, the Company’s insurance subsidiaries are subject to regulation and supervision in the jurisdictions in which they do business. Statutes typically delegate regulatory, supervisory, and administrative powers to state insurance commissioners. The method of such regulation varies, but regulation relates generally to the licensing of insurers and their agents, the nature of and limitations on investments, approval of policy forms, reserve requirements, the standards of solvency to be met and maintained, deposits of securities for the benefit of policyholders, and periodic examinations of insurers and trade practices, among other things. The Company’s products generally are subject to rate regulation by state insurance commissions, which require that certain minimum loss ratios be maintained. Certain states also have insurance holding company laws which require registration and periodic reporting by insurance companies controlled by other corporations licensed to transact business within their respective jurisdictions. The Company’s insurance subsidiaries are subject to such legislation and are registered as controlled insurers in those jurisdictions in which such registration is required. Such laws vary from state to state, but typically require periodic disclosure concerning the corporation which controls the registered insurers and all subsidiaries of such corporations, as well as prior notice to, or approval by, the state insurance commissioners of intercorporate transfers of assets (including payments of dividends by the insurance subsidiaries in excess of specified amounts) within the holding company system. The Company believes it is in compliance with all such requirements.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Most states require that rate schedules and other information be filed with the state’s insurance regulatory authority, either directly or through a ratings organization with which the insurer is affiliated. The regulatory authority may disapprove a rate filing if it determines that the rates are inadequate, excessive, or discriminatory. The Company has historically experienced no significant regulatory resistance to its applications for rate adjustments; however, the Company cannot provide any assurance that it will not receive any objections to any applications in the future.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state may require that acceptable securities be deposited for the protection either of policyholders located in those states or of all policyholders. As of December 31, 2025, the Company was in compliance with all such requirements, and securities with an amortized cost of $15.4 million were on deposit either directly with various state authorities or with third parties pursuant to various custodial agreements on behalf of the Company’s insurance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Virtually all of the states in which the Company’s insurance subsidiaries are licensed to transact business require participation in their respective guaranty funds designed to cover claims against insolvent insurers. Insurers authorized to transact business in these jurisdictions are generally subject to assessments of up to 4% of annual direct premiums written in that jurisdiction to pay such claims, if any. The likelihood and amount of any future assessments cannot be estimated until an insolvency has occurred.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the date of this Form 10-K, Bankers Fidelity has not yet filed its annual audited statutory financial statements for the fiscal year ended December 31, 2025 or quarterly statutory financial statements for the quarter ended June 30, 2026 with the applicable state insurance regulatory authorities. Bankers Fidelity is working with its independent auditors and the state regulators to complete and file the required financial statements and intends to seek an extension if appropriate. If Bankers Fidelity is unable to file the required financial statements by the applicable deadlines (including as the same may be extended), the Company is unable to predict with any certainty what measures may be imposed by the applicable regulatory authorities.</w:t>
      </w:r>
    </w:p>
    <w:p>
      <w:pPr>
        <w:pStyle w:val="TextBody"/>
        <w:bidi w:val="0"/>
        <w:spacing w:before="0" w:after="0"/>
        <w:jc w:val="both"/>
        <w:rPr/>
      </w:pPr>
      <w:bookmarkStart w:id="36" w:name="NAICRatios"/>
      <w:bookmarkEnd w:id="36"/>
      <w:r>
        <w:rPr/>
        <w:t> </w:t>
      </w:r>
    </w:p>
    <w:p>
      <w:pPr>
        <w:pStyle w:val="TextBody"/>
        <w:bidi w:val="0"/>
        <w:spacing w:before="0" w:after="0"/>
        <w:jc w:val="both"/>
        <w:rPr>
          <w:rFonts w:ascii="Times New Roman" w:hAnsi="Times New Roman"/>
          <w:b/>
          <w:sz w:val="20"/>
        </w:rPr>
      </w:pPr>
      <w:r>
        <w:rPr>
          <w:rFonts w:ascii="Times New Roman" w:hAnsi="Times New Roman"/>
          <w:b/>
          <w:sz w:val="20"/>
        </w:rPr>
        <w:t>NAIC Ratios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National Association of Insurance Commissioners (the “NAIC”) was established to, among other things, provide guidelines to assess the financial strength of insurance companies for state regulatory purposes. The NAIC conducts annual reviews of the financial data of insurance companies primarily through the application of financial ratios prepared on a statutory basis. Annual statements are required to be submitted to state insurance departments to assist them in monitoring insurance companies in their state and to allow such states to determine a desirable range for each such ratio with which companies should comply.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NAIC developed the Insurance Regulatory Information System (“IRIS”) to help state regulators identify companies that may require regulatory attention. Financial examiners review annual financial statements and the results of key financial ratios based on year-end data with the goal of identifying insurers that appear to require immediate regulatory attention. Each ratio has an established “usual range” of results. A ratio result falling outside the usual range, however, is not necessarily considered adverse; rather, unusual values are used as part of the regulatory early monitoring system. Furthermore, in some years, it may not be unusual for financially sound companies to have several ratios with results outside the usual ranges. Generally, an insurance company may become subject to regulatory scrutiny or, depending on the company’s financial condition, regulatory action if certain of its key IRIS ratios fall outside the usual ranges and the insurer’s financial condition is trending downward.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year ended December 31, 2025, American Southern Insurance Company had two ratios that were outside the usual range, the change in net premiums written and the two-year reserve development to policyholders’ surplus. The change in net premiums written ratio was primarily attributable to a significant rate increase in a governmental program. The two-year reserve development to policyholders’ surplus ratio was due primarily to continued reserve strengthening in the commercial automobile liability line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Safety Insurance Company had no IRIS ratios outside the usual ranges.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Assurance Company (“BFAC”) had four ratios outside the normal range, mainly due to a net loss driven by federal income taxes, despite operating income. This led to a lower surplus and a deferred tax asset, with a portion non-admitted. The surplus relief ratio for BFAC triggered because the ratio of commission and expense allowances to capital exceeds 100%. BFAC writes only Medicare Supplement insurance and cedes 100% of its written business to its parent, therefore the adequacy of investment income and change in product mix ratios will always produce no result.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Life Insurance Company had no IRIS ratios outside the usual ranges.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Capital Life Assurance Company (“ACLAC”) had six ratios outside the normal range, which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9ea0d3a884844a21ad2793052e00820c"/>
      <w:bookmarkStart w:id="38" w:name="z9ea0d3a884844a21ad2793052e00820c"/>
      <w:bookmarkEnd w:id="38"/>
    </w:p>
    <w:tbl>
      <w:tblPr>
        <w:tblW w:w="10205" w:type="dxa"/>
        <w:jc w:val="left"/>
        <w:tblInd w:w="0" w:type="dxa"/>
        <w:tblLayout w:type="fixed"/>
        <w:tblCellMar>
          <w:top w:w="0" w:type="dxa"/>
          <w:left w:w="0" w:type="dxa"/>
          <w:bottom w:w="0" w:type="dxa"/>
          <w:right w:w="0" w:type="dxa"/>
        </w:tblCellMar>
      </w:tblPr>
      <w:tblGrid>
        <w:gridCol w:w="105"/>
        <w:gridCol w:w="198"/>
        <w:gridCol w:w="9902"/>
      </w:tblGrid>
      <w:tr>
        <w:trPr/>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both"/>
              <w:rPr/>
            </w:pPr>
            <w:r>
              <w:rPr/>
              <w:t>1.</w:t>
            </w:r>
          </w:p>
        </w:tc>
        <w:tc>
          <w:tcPr>
            <w:tcW w:w="9902" w:type="dxa"/>
            <w:tcBorders/>
            <w:vAlign w:val="center"/>
          </w:tcPr>
          <w:p>
            <w:pPr>
              <w:pStyle w:val="TableContents"/>
              <w:bidi w:val="0"/>
              <w:spacing w:before="0" w:after="0"/>
              <w:jc w:val="both"/>
              <w:rPr/>
            </w:pPr>
            <w:r>
              <w:rPr/>
              <w:t>Capital and surplus fell from the beginning to the end of 2025, mainly due to non-admitted agent balance advances. ACLAC’s increased advances to agents reflect industry practices as it grows new business.</w:t>
            </w:r>
          </w:p>
        </w:tc>
      </w:tr>
    </w:tbl>
    <w:p>
      <w:pPr>
        <w:pStyle w:val="Normal"/>
        <w:bidi w:val="0"/>
        <w:spacing w:before="0" w:after="0"/>
        <w:jc w:val="left"/>
        <w:rPr>
          <w:sz w:val="4"/>
          <w:szCs w:val="4"/>
        </w:rPr>
      </w:pPr>
      <w:r>
        <w:rPr>
          <w:sz w:val="4"/>
          <w:szCs w:val="4"/>
        </w:rPr>
      </w:r>
      <w:bookmarkStart w:id="39" w:name="z75c628ba899f4a669594c550dd55e1ba"/>
      <w:bookmarkStart w:id="40" w:name="z75c628ba899f4a669594c550dd55e1ba"/>
      <w:bookmarkEnd w:id="40"/>
    </w:p>
    <w:tbl>
      <w:tblPr>
        <w:tblW w:w="6040" w:type="dxa"/>
        <w:jc w:val="left"/>
        <w:tblInd w:w="0" w:type="dxa"/>
        <w:tblLayout w:type="fixed"/>
        <w:tblCellMar>
          <w:top w:w="0" w:type="dxa"/>
          <w:left w:w="0" w:type="dxa"/>
          <w:bottom w:w="0" w:type="dxa"/>
          <w:right w:w="0" w:type="dxa"/>
        </w:tblCellMar>
      </w:tblPr>
      <w:tblGrid>
        <w:gridCol w:w="105"/>
        <w:gridCol w:w="230"/>
        <w:gridCol w:w="570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pPr>
            <w:r>
              <w:rPr/>
              <w:t>2.</w:t>
            </w:r>
          </w:p>
        </w:tc>
        <w:tc>
          <w:tcPr>
            <w:tcW w:w="5705" w:type="dxa"/>
            <w:tcBorders/>
            <w:vAlign w:val="center"/>
          </w:tcPr>
          <w:p>
            <w:pPr>
              <w:pStyle w:val="TableContents"/>
              <w:bidi w:val="0"/>
              <w:spacing w:before="0" w:after="0"/>
              <w:jc w:val="both"/>
              <w:rPr/>
            </w:pPr>
            <w:r>
              <w:rPr/>
              <w:t>Gross change in capital and surplus: see above explanation.</w:t>
            </w:r>
          </w:p>
        </w:tc>
      </w:tr>
    </w:tbl>
    <w:p>
      <w:pPr>
        <w:pStyle w:val="Normal"/>
        <w:bidi w:val="0"/>
        <w:spacing w:before="0" w:after="0"/>
        <w:jc w:val="left"/>
        <w:rPr>
          <w:sz w:val="4"/>
          <w:szCs w:val="4"/>
        </w:rPr>
      </w:pPr>
      <w:r>
        <w:rPr>
          <w:sz w:val="4"/>
          <w:szCs w:val="4"/>
        </w:rPr>
      </w:r>
      <w:bookmarkStart w:id="41" w:name="z4f1f11fd5e954a16a990913aeda0991c"/>
      <w:bookmarkStart w:id="42" w:name="z4f1f11fd5e954a16a990913aeda0991c"/>
      <w:bookmarkEnd w:id="42"/>
    </w:p>
    <w:tbl>
      <w:tblPr>
        <w:tblW w:w="10205" w:type="dxa"/>
        <w:jc w:val="left"/>
        <w:tblInd w:w="0" w:type="dxa"/>
        <w:tblLayout w:type="fixed"/>
        <w:tblCellMar>
          <w:top w:w="0" w:type="dxa"/>
          <w:left w:w="0" w:type="dxa"/>
          <w:bottom w:w="0" w:type="dxa"/>
          <w:right w:w="0" w:type="dxa"/>
        </w:tblCellMar>
      </w:tblPr>
      <w:tblGrid>
        <w:gridCol w:w="105"/>
        <w:gridCol w:w="218"/>
        <w:gridCol w:w="9882"/>
      </w:tblGrid>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both"/>
              <w:rPr/>
            </w:pPr>
            <w:r>
              <w:rPr/>
              <w:t>3.</w:t>
            </w:r>
          </w:p>
        </w:tc>
        <w:tc>
          <w:tcPr>
            <w:tcW w:w="9882" w:type="dxa"/>
            <w:tcBorders/>
            <w:vAlign w:val="center"/>
          </w:tcPr>
          <w:p>
            <w:pPr>
              <w:pStyle w:val="TableContents"/>
              <w:bidi w:val="0"/>
              <w:spacing w:before="0" w:after="0"/>
              <w:jc w:val="both"/>
              <w:rPr/>
            </w:pPr>
            <w:r>
              <w:rPr/>
              <w:t>Net income for 2025 was negative, driven by federal taxes. Operational gains were offset by these taxes, resulting in a net loss.</w:t>
            </w:r>
          </w:p>
        </w:tc>
      </w:tr>
    </w:tbl>
    <w:p>
      <w:pPr>
        <w:pStyle w:val="Normal"/>
        <w:bidi w:val="0"/>
        <w:spacing w:before="0" w:after="0"/>
        <w:jc w:val="left"/>
        <w:rPr>
          <w:sz w:val="4"/>
          <w:szCs w:val="4"/>
        </w:rPr>
      </w:pPr>
      <w:r>
        <w:rPr>
          <w:sz w:val="4"/>
          <w:szCs w:val="4"/>
        </w:rPr>
      </w:r>
      <w:bookmarkStart w:id="43" w:name="z212ec799298748c78cf9e44a5ce627af"/>
      <w:bookmarkStart w:id="44" w:name="z212ec799298748c78cf9e44a5ce627af"/>
      <w:bookmarkEnd w:id="44"/>
    </w:p>
    <w:tbl>
      <w:tblPr>
        <w:tblW w:w="10205" w:type="dxa"/>
        <w:jc w:val="left"/>
        <w:tblInd w:w="0" w:type="dxa"/>
        <w:tblLayout w:type="fixed"/>
        <w:tblCellMar>
          <w:top w:w="0" w:type="dxa"/>
          <w:left w:w="0" w:type="dxa"/>
          <w:bottom w:w="0" w:type="dxa"/>
          <w:right w:w="0" w:type="dxa"/>
        </w:tblCellMar>
      </w:tblPr>
      <w:tblGrid>
        <w:gridCol w:w="105"/>
        <w:gridCol w:w="220"/>
        <w:gridCol w:w="9880"/>
      </w:tblGrid>
      <w:tr>
        <w:trPr/>
        <w:tc>
          <w:tcPr>
            <w:tcW w:w="10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both"/>
              <w:rPr/>
            </w:pPr>
            <w:r>
              <w:rPr/>
              <w:t>4.</w:t>
            </w:r>
          </w:p>
        </w:tc>
        <w:tc>
          <w:tcPr>
            <w:tcW w:w="9880" w:type="dxa"/>
            <w:tcBorders/>
            <w:vAlign w:val="center"/>
          </w:tcPr>
          <w:p>
            <w:pPr>
              <w:pStyle w:val="TableContents"/>
              <w:bidi w:val="0"/>
              <w:spacing w:before="0" w:after="0"/>
              <w:jc w:val="both"/>
              <w:rPr/>
            </w:pPr>
            <w:r>
              <w:rPr/>
              <w:t>ACLAC writes and cedes only Medicare Supplement insurance, so investment income adequacy always yields no result.</w:t>
            </w:r>
          </w:p>
        </w:tc>
      </w:tr>
    </w:tbl>
    <w:p>
      <w:pPr>
        <w:pStyle w:val="Normal"/>
        <w:bidi w:val="0"/>
        <w:spacing w:before="0" w:after="0"/>
        <w:jc w:val="left"/>
        <w:rPr>
          <w:sz w:val="4"/>
          <w:szCs w:val="4"/>
        </w:rPr>
      </w:pPr>
      <w:r>
        <w:rPr>
          <w:sz w:val="4"/>
          <w:szCs w:val="4"/>
        </w:rPr>
      </w:r>
      <w:bookmarkStart w:id="45" w:name="zbc5cf8e602224cc0b32d716255a6351b"/>
      <w:bookmarkStart w:id="46" w:name="zbc5cf8e602224cc0b32d716255a6351b"/>
      <w:bookmarkEnd w:id="46"/>
    </w:p>
    <w:tbl>
      <w:tblPr>
        <w:tblW w:w="7990" w:type="dxa"/>
        <w:jc w:val="left"/>
        <w:tblInd w:w="0" w:type="dxa"/>
        <w:tblLayout w:type="fixed"/>
        <w:tblCellMar>
          <w:top w:w="0" w:type="dxa"/>
          <w:left w:w="0" w:type="dxa"/>
          <w:bottom w:w="0" w:type="dxa"/>
          <w:right w:w="0" w:type="dxa"/>
        </w:tblCellMar>
      </w:tblPr>
      <w:tblGrid>
        <w:gridCol w:w="105"/>
        <w:gridCol w:w="230"/>
        <w:gridCol w:w="765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pPr>
            <w:r>
              <w:rPr/>
              <w:t>5.</w:t>
            </w:r>
          </w:p>
        </w:tc>
        <w:tc>
          <w:tcPr>
            <w:tcW w:w="7655" w:type="dxa"/>
            <w:tcBorders/>
            <w:vAlign w:val="center"/>
          </w:tcPr>
          <w:p>
            <w:pPr>
              <w:pStyle w:val="TableContents"/>
              <w:bidi w:val="0"/>
              <w:spacing w:before="0" w:after="0"/>
              <w:jc w:val="both"/>
              <w:rPr/>
            </w:pPr>
            <w:r>
              <w:rPr/>
              <w:t>Non-admitted assets spiked in 2025 due to agent balances; see item 1 for details.</w:t>
            </w:r>
          </w:p>
        </w:tc>
      </w:tr>
    </w:tbl>
    <w:p>
      <w:pPr>
        <w:pStyle w:val="Normal"/>
        <w:bidi w:val="0"/>
        <w:spacing w:before="0" w:after="0"/>
        <w:jc w:val="left"/>
        <w:rPr>
          <w:sz w:val="4"/>
          <w:szCs w:val="4"/>
        </w:rPr>
      </w:pPr>
      <w:r>
        <w:rPr>
          <w:sz w:val="4"/>
          <w:szCs w:val="4"/>
        </w:rPr>
      </w:r>
      <w:bookmarkStart w:id="47" w:name="z0b1176f175cf4c91961a6db3d7f9784b"/>
      <w:bookmarkStart w:id="48" w:name="z0b1176f175cf4c91961a6db3d7f9784b"/>
      <w:bookmarkEnd w:id="48"/>
    </w:p>
    <w:tbl>
      <w:tblPr>
        <w:tblW w:w="10205" w:type="dxa"/>
        <w:jc w:val="left"/>
        <w:tblInd w:w="0" w:type="dxa"/>
        <w:tblLayout w:type="fixed"/>
        <w:tblCellMar>
          <w:top w:w="0" w:type="dxa"/>
          <w:left w:w="0" w:type="dxa"/>
          <w:bottom w:w="0" w:type="dxa"/>
          <w:right w:w="0" w:type="dxa"/>
        </w:tblCellMar>
      </w:tblPr>
      <w:tblGrid>
        <w:gridCol w:w="105"/>
        <w:gridCol w:w="189"/>
        <w:gridCol w:w="9911"/>
      </w:tblGrid>
      <w:tr>
        <w:trPr/>
        <w:tc>
          <w:tcPr>
            <w:tcW w:w="10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both"/>
              <w:rPr/>
            </w:pPr>
            <w:r>
              <w:rPr/>
              <w:t>6.</w:t>
            </w:r>
          </w:p>
        </w:tc>
        <w:tc>
          <w:tcPr>
            <w:tcW w:w="9911" w:type="dxa"/>
            <w:tcBorders/>
            <w:vAlign w:val="center"/>
          </w:tcPr>
          <w:p>
            <w:pPr>
              <w:pStyle w:val="TableContents"/>
              <w:bidi w:val="0"/>
              <w:spacing w:before="0" w:after="0"/>
              <w:jc w:val="both"/>
              <w:rPr/>
            </w:pPr>
            <w:r>
              <w:rPr/>
              <w:t>Surplus Relief ratio triggered because the ratio of commission and expense allowances to capital exceeds 100%. ACLAC writes only Medicare Supplement insurance and cedes 100% of its written business to its parent, therefore the change in product mix ratio will always produce no result.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Management does not anticipate regulatory action as a result of the 2025 IRIS ratio results for the insurance subsidiaries.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49" w:name="Risk-BasedCapital"/>
      <w:bookmarkEnd w:id="49"/>
      <w:r>
        <w:rPr>
          <w:rFonts w:ascii="Times New Roman" w:hAnsi="Times New Roman"/>
          <w:b/>
          <w:sz w:val="20"/>
        </w:rPr>
        <w:t>Risk-Based Capital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Risk-based capital (“RBC”) is a metric used by ratings agencies and regulators as an early warning tool to identify weakly capitalized companies for the purpose of initiating further regulatory action. The RBC calculation determines the amount of adjusted capital needed by a company to avoid regulatory action. “Authorized Control Level Risk-Based Capital” (“ACLRBC”) is calculated, and if a company’s adjusted capital is 200% or lower than ACLRBC, it is subject to regulatory action. At December 31, 2025, the Company’s insurance subsidiaries’ RBC levels exceeded the required regulatory levels.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50" w:name="Investments"/>
      <w:bookmarkEnd w:id="50"/>
      <w:r>
        <w:rPr>
          <w:rFonts w:ascii="Times New Roman" w:hAnsi="Times New Roman"/>
          <w:b/>
          <w:sz w:val="20"/>
        </w:rPr>
        <w:t>Investments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 income represents a significant portion of the Company’s operating and total income. Insurance company investments are subject to state insurance laws and regulations which limit the concentration and types of investments. The following table provides information on the Company’s investments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6b6b50ba17d94754a3cd8469efa59285"/>
      <w:bookmarkStart w:id="52" w:name="z6b6b50ba17d94754a3cd8469efa59285"/>
      <w:bookmarkEnd w:id="52"/>
    </w:p>
    <w:tbl>
      <w:tblPr>
        <w:tblW w:w="10205" w:type="dxa"/>
        <w:jc w:val="left"/>
        <w:tblInd w:w="0" w:type="dxa"/>
        <w:tblLayout w:type="fixed"/>
        <w:tblCellMar>
          <w:top w:w="0" w:type="dxa"/>
          <w:left w:w="0" w:type="dxa"/>
          <w:bottom w:w="0" w:type="dxa"/>
          <w:right w:w="0" w:type="dxa"/>
        </w:tblCellMar>
      </w:tblPr>
      <w:tblGrid>
        <w:gridCol w:w="5470"/>
        <w:gridCol w:w="90"/>
        <w:gridCol w:w="170"/>
        <w:gridCol w:w="830"/>
        <w:gridCol w:w="90"/>
        <w:gridCol w:w="90"/>
        <w:gridCol w:w="109"/>
        <w:gridCol w:w="721"/>
        <w:gridCol w:w="245"/>
        <w:gridCol w:w="90"/>
        <w:gridCol w:w="170"/>
        <w:gridCol w:w="830"/>
        <w:gridCol w:w="90"/>
        <w:gridCol w:w="90"/>
        <w:gridCol w:w="109"/>
        <w:gridCol w:w="721"/>
        <w:gridCol w:w="290"/>
      </w:tblGrid>
      <w:tr>
        <w:trPr/>
        <w:tc>
          <w:tcPr>
            <w:tcW w:w="5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5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December 31,</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4355" w:type="dxa"/>
            <w:gridSpan w:val="14"/>
            <w:tcBorders/>
            <w:vAlign w:val="bottom"/>
          </w:tcPr>
          <w:p>
            <w:pPr>
              <w:pStyle w:val="TableContents"/>
              <w:bidi w:val="0"/>
              <w:spacing w:before="0" w:after="0"/>
              <w:jc w:val="center"/>
              <w:rPr>
                <w:b/>
              </w:rPr>
            </w:pPr>
            <w:r>
              <w:rPr>
                <w:b/>
              </w:rPr>
              <w:t>(In thousands)</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180" w:right="0" w:hanging="180"/>
              <w:jc w:val="left"/>
              <w:rPr/>
            </w:pPr>
            <w:r>
              <w:rPr/>
              <w:t>Fixed maturity securities: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360" w:right="0" w:hanging="180"/>
              <w:jc w:val="left"/>
              <w:rPr/>
            </w:pPr>
            <w:r>
              <w:rPr/>
              <w:t>U.S. Treasury securities and obligations of U.S. Government agencies and authorities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24,067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9.1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22,251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9.7</w:t>
            </w:r>
          </w:p>
        </w:tc>
        <w:tc>
          <w:tcPr>
            <w:tcW w:w="290" w:type="dxa"/>
            <w:tcBorders/>
            <w:shd w:fill="CCEEFF" w:val="clear"/>
            <w:vAlign w:val="bottom"/>
          </w:tcPr>
          <w:p>
            <w:pPr>
              <w:pStyle w:val="TableContents"/>
              <w:bidi w:val="0"/>
              <w:spacing w:before="0" w:after="0"/>
              <w:jc w:val="left"/>
              <w:rPr/>
            </w:pPr>
            <w:r>
              <w:rPr/>
              <w:t>%</w:t>
            </w:r>
          </w:p>
        </w:tc>
      </w:tr>
      <w:tr>
        <w:trPr/>
        <w:tc>
          <w:tcPr>
            <w:tcW w:w="5470" w:type="dxa"/>
            <w:tcBorders/>
            <w:vAlign w:val="bottom"/>
          </w:tcPr>
          <w:p>
            <w:pPr>
              <w:pStyle w:val="TableContents"/>
              <w:bidi w:val="0"/>
              <w:spacing w:before="0" w:after="0"/>
              <w:ind w:left="360" w:right="0" w:hanging="180"/>
              <w:jc w:val="left"/>
              <w:rPr/>
            </w:pPr>
            <w:r>
              <w:rPr/>
              <w:t>Loan backed and structured securities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10.9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22,290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9.7</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360" w:right="0" w:hanging="180"/>
              <w:jc w:val="left"/>
              <w:rPr/>
            </w:pPr>
            <w:r>
              <w:rPr/>
              <w:t>States, municipalities and political subdivisions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2.8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3.3</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360" w:right="0" w:hanging="180"/>
              <w:jc w:val="left"/>
              <w:rPr/>
            </w:pPr>
            <w:r>
              <w:rPr/>
              <w:t>All other corporate bonds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183,472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69.1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160,261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69.6</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360" w:right="0" w:hanging="180"/>
              <w:jc w:val="left"/>
              <w:rPr/>
            </w:pPr>
            <w:r>
              <w:rPr/>
              <w:t>Redeemable preferred stock</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0.1</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lineRule="auto" w:line="240" w:before="0" w:after="0"/>
              <w:ind w:left="540" w:right="0" w:hanging="180"/>
              <w:jc w:val="left"/>
              <w:rPr/>
            </w:pPr>
            <w:r>
              <w:rPr/>
              <w:t>Total fixed maturity securities(1)</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92.0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92.4</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lineRule="auto" w:line="240" w:before="0" w:after="0"/>
              <w:ind w:left="180" w:right="0" w:hanging="180"/>
              <w:jc w:val="left"/>
              <w:rPr/>
            </w:pPr>
            <w:r>
              <w:rPr/>
              <w:t>Equity securities(2)</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4.7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3.4</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lineRule="auto" w:line="240" w:before="0" w:after="0"/>
              <w:ind w:left="180" w:right="0" w:hanging="180"/>
              <w:jc w:val="left"/>
              <w:rPr/>
            </w:pPr>
            <w:r>
              <w:rPr/>
              <w:t>Other invested assets(3)</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6,037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6,616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3.0</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lineRule="auto" w:line="240" w:before="0" w:after="0"/>
              <w:ind w:left="180" w:right="0" w:hanging="180"/>
              <w:jc w:val="left"/>
              <w:rPr/>
            </w:pPr>
            <w:r>
              <w:rPr/>
              <w:t>Policy loans(4)</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1,683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0.6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0.7</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180" w:right="0" w:hanging="180"/>
              <w:jc w:val="left"/>
              <w:rPr/>
            </w:pPr>
            <w:r>
              <w:rPr/>
              <w:t>Real estate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0.0</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180" w:right="0" w:hanging="180"/>
              <w:jc w:val="left"/>
              <w:rPr/>
            </w:pPr>
            <w:r>
              <w:rPr/>
              <w:t>Investments in unconsolidated trusts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0.5</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360" w:right="0" w:hanging="180"/>
              <w:jc w:val="left"/>
              <w:rPr/>
            </w:pPr>
            <w:r>
              <w:rPr/>
              <w:t>Total investments</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265,502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bottom w:val="double" w:sz="8" w:space="0" w:color="000000"/>
            </w:tcBorders>
            <w:tcMar>
              <w:bottom w:w="28" w:type="dxa"/>
            </w:tcMar>
            <w:vAlign w:val="bottom"/>
          </w:tcPr>
          <w:p>
            <w:pPr>
              <w:pStyle w:val="TableContents"/>
              <w:bidi w:val="0"/>
              <w:spacing w:before="0" w:after="283"/>
              <w:jc w:val="left"/>
              <w:rPr/>
            </w:pPr>
            <w:r>
              <w:rPr/>
              <w:t> </w:t>
            </w:r>
          </w:p>
        </w:tc>
        <w:tc>
          <w:tcPr>
            <w:tcW w:w="721" w:type="dxa"/>
            <w:tcBorders>
              <w:bottom w:val="double" w:sz="8" w:space="0" w:color="000000"/>
            </w:tcBorders>
            <w:tcMar>
              <w:bottom w:w="28" w:type="dxa"/>
            </w:tcMar>
            <w:vAlign w:val="bottom"/>
          </w:tcPr>
          <w:p>
            <w:pPr>
              <w:pStyle w:val="TableContents"/>
              <w:bidi w:val="0"/>
              <w:spacing w:before="0" w:after="0"/>
              <w:jc w:val="right"/>
              <w:rPr/>
            </w:pPr>
            <w:r>
              <w:rPr/>
              <w:t>100.0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230,126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bottom w:val="double" w:sz="8" w:space="0" w:color="000000"/>
            </w:tcBorders>
            <w:tcMar>
              <w:bottom w:w="28" w:type="dxa"/>
            </w:tcMar>
            <w:vAlign w:val="bottom"/>
          </w:tcPr>
          <w:p>
            <w:pPr>
              <w:pStyle w:val="TableContents"/>
              <w:bidi w:val="0"/>
              <w:spacing w:before="0" w:after="283"/>
              <w:jc w:val="left"/>
              <w:rPr/>
            </w:pPr>
            <w:r>
              <w:rPr/>
              <w:t> </w:t>
            </w:r>
          </w:p>
        </w:tc>
        <w:tc>
          <w:tcPr>
            <w:tcW w:w="721" w:type="dxa"/>
            <w:tcBorders>
              <w:bottom w:val="double" w:sz="8" w:space="0" w:color="000000"/>
            </w:tcBorders>
            <w:tcMar>
              <w:bottom w:w="28" w:type="dxa"/>
            </w:tcMar>
            <w:vAlign w:val="bottom"/>
          </w:tcPr>
          <w:p>
            <w:pPr>
              <w:pStyle w:val="TableContents"/>
              <w:bidi w:val="0"/>
              <w:spacing w:before="0" w:after="0"/>
              <w:jc w:val="right"/>
              <w:rPr/>
            </w:pPr>
            <w:r>
              <w:rPr/>
              <w:t>100.0</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bda279dcea55488d94d0af8b674bcf53"/>
      <w:bookmarkStart w:id="54" w:name="zbda279dcea55488d94d0af8b674bcf53"/>
      <w:bookmarkEnd w:id="54"/>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both"/>
              <w:rPr/>
            </w:pPr>
            <w:r>
              <w:rPr/>
              <w:t>(1)</w:t>
            </w:r>
          </w:p>
        </w:tc>
        <w:tc>
          <w:tcPr>
            <w:tcW w:w="9926" w:type="dxa"/>
            <w:tcBorders/>
            <w:vAlign w:val="center"/>
          </w:tcPr>
          <w:p>
            <w:pPr>
              <w:pStyle w:val="TableContents"/>
              <w:bidi w:val="0"/>
              <w:spacing w:before="0" w:after="0"/>
              <w:jc w:val="both"/>
              <w:rPr/>
            </w:pPr>
            <w:r>
              <w:rPr/>
              <w:t>Fixed maturity securities are carried on the balance sheet at estimated fair value. Certain fixed maturity securities do not have publicly quoted prices, and are carried at estimated fair value as determined by management. Total amortized cost of fixed maturity securities was $260.2 million as of December 31, 2025 and $236.3 million as of December 31, 2024.</w:t>
            </w:r>
          </w:p>
        </w:tc>
      </w:tr>
    </w:tbl>
    <w:p>
      <w:pPr>
        <w:pStyle w:val="Normal"/>
        <w:bidi w:val="0"/>
        <w:spacing w:before="0" w:after="0"/>
        <w:jc w:val="left"/>
        <w:rPr>
          <w:sz w:val="4"/>
          <w:szCs w:val="4"/>
        </w:rPr>
      </w:pPr>
      <w:r>
        <w:rPr>
          <w:sz w:val="4"/>
          <w:szCs w:val="4"/>
        </w:rPr>
      </w:r>
      <w:bookmarkStart w:id="55" w:name="z4905ef8cba0949e4baac372356371ce4"/>
      <w:bookmarkStart w:id="56" w:name="z4905ef8cba0949e4baac372356371ce4"/>
      <w:bookmarkEnd w:id="56"/>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both"/>
              <w:rPr/>
            </w:pPr>
            <w:r>
              <w:rPr/>
              <w:t>(2)</w:t>
            </w:r>
          </w:p>
        </w:tc>
        <w:tc>
          <w:tcPr>
            <w:tcW w:w="9897" w:type="dxa"/>
            <w:tcBorders/>
            <w:vAlign w:val="center"/>
          </w:tcPr>
          <w:p>
            <w:pPr>
              <w:pStyle w:val="TableContents"/>
              <w:bidi w:val="0"/>
              <w:spacing w:before="0" w:after="0"/>
              <w:jc w:val="both"/>
              <w:rPr/>
            </w:pPr>
            <w:r>
              <w:rPr/>
              <w:t>Equity securities are carried on the balance sheet at estimated fair value. Total cost of equity securities was $4.9 million as of December 31, 2025 and 2024.</w:t>
            </w:r>
          </w:p>
        </w:tc>
      </w:tr>
    </w:tbl>
    <w:p>
      <w:pPr>
        <w:pStyle w:val="Normal"/>
        <w:bidi w:val="0"/>
        <w:spacing w:before="0" w:after="0"/>
        <w:jc w:val="left"/>
        <w:rPr>
          <w:sz w:val="4"/>
          <w:szCs w:val="4"/>
        </w:rPr>
      </w:pPr>
      <w:r>
        <w:rPr>
          <w:sz w:val="4"/>
          <w:szCs w:val="4"/>
        </w:rPr>
      </w:r>
      <w:bookmarkStart w:id="57" w:name="z7f18f3b88b2d482892da61c8ed510352"/>
      <w:bookmarkStart w:id="58" w:name="z7f18f3b88b2d482892da61c8ed510352"/>
      <w:bookmarkEnd w:id="58"/>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both"/>
              <w:rPr/>
            </w:pPr>
            <w:r>
              <w:rPr/>
              <w:t>(3)</w:t>
            </w:r>
          </w:p>
        </w:tc>
        <w:tc>
          <w:tcPr>
            <w:tcW w:w="9896" w:type="dxa"/>
            <w:tcBorders/>
            <w:vAlign w:val="center"/>
          </w:tcPr>
          <w:p>
            <w:pPr>
              <w:pStyle w:val="TableContents"/>
              <w:bidi w:val="0"/>
              <w:spacing w:before="0" w:after="0"/>
              <w:jc w:val="both"/>
              <w:rPr/>
            </w:pPr>
            <w:r>
              <w:rPr/>
              <w:t>Other invested assets are accounted for using the equity method. Total cost of other invested assets was $7.9 million as of December 31, 2025 and 2024.</w:t>
            </w:r>
          </w:p>
        </w:tc>
      </w:tr>
    </w:tbl>
    <w:p>
      <w:pPr>
        <w:pStyle w:val="Normal"/>
        <w:bidi w:val="0"/>
        <w:spacing w:before="0" w:after="0"/>
        <w:jc w:val="left"/>
        <w:rPr>
          <w:sz w:val="4"/>
          <w:szCs w:val="4"/>
        </w:rPr>
      </w:pPr>
      <w:r>
        <w:rPr>
          <w:sz w:val="4"/>
          <w:szCs w:val="4"/>
        </w:rPr>
      </w:r>
      <w:bookmarkStart w:id="59" w:name="zcbdb8d09f85a406aa65be91163a7baac"/>
      <w:bookmarkStart w:id="60" w:name="zcbdb8d09f85a406aa65be91163a7baac"/>
      <w:bookmarkEnd w:id="60"/>
    </w:p>
    <w:tbl>
      <w:tblPr>
        <w:tblW w:w="5365" w:type="dxa"/>
        <w:jc w:val="left"/>
        <w:tblInd w:w="0" w:type="dxa"/>
        <w:tblLayout w:type="fixed"/>
        <w:tblCellMar>
          <w:top w:w="0" w:type="dxa"/>
          <w:left w:w="0" w:type="dxa"/>
          <w:bottom w:w="0" w:type="dxa"/>
          <w:right w:w="0" w:type="dxa"/>
        </w:tblCellMar>
      </w:tblPr>
      <w:tblGrid>
        <w:gridCol w:w="335"/>
        <w:gridCol w:w="5030"/>
      </w:tblGrid>
      <w:tr>
        <w:trPr/>
        <w:tc>
          <w:tcPr>
            <w:tcW w:w="335" w:type="dxa"/>
            <w:tcBorders/>
            <w:vAlign w:val="center"/>
          </w:tcPr>
          <w:p>
            <w:pPr>
              <w:pStyle w:val="TableContents"/>
              <w:bidi w:val="0"/>
              <w:spacing w:before="0" w:after="0"/>
              <w:jc w:val="both"/>
              <w:rPr/>
            </w:pPr>
            <w:r>
              <w:rPr/>
              <w:t>(4)</w:t>
            </w:r>
          </w:p>
        </w:tc>
        <w:tc>
          <w:tcPr>
            <w:tcW w:w="5030" w:type="dxa"/>
            <w:tcBorders/>
            <w:vAlign w:val="center"/>
          </w:tcPr>
          <w:p>
            <w:pPr>
              <w:pStyle w:val="TableContents"/>
              <w:bidi w:val="0"/>
              <w:spacing w:before="0" w:after="0"/>
              <w:jc w:val="both"/>
              <w:rPr/>
            </w:pPr>
            <w:r>
              <w:rPr/>
              <w:t>Policy loans are valued at unpaid principal balances.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Estimated fair values are determined as discussed in Note 1 of Notes to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Results of the Company’s investment portfolio for periods shown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01931a67f9b549748ebc2a27975f04ec"/>
      <w:bookmarkStart w:id="62" w:name="z01931a67f9b549748ebc2a27975f04ec"/>
      <w:bookmarkEnd w:id="62"/>
    </w:p>
    <w:tbl>
      <w:tblPr>
        <w:tblW w:w="6822" w:type="dxa"/>
        <w:jc w:val="left"/>
        <w:tblInd w:w="0" w:type="dxa"/>
        <w:tblLayout w:type="fixed"/>
        <w:tblCellMar>
          <w:top w:w="0" w:type="dxa"/>
          <w:left w:w="0" w:type="dxa"/>
          <w:bottom w:w="0" w:type="dxa"/>
          <w:right w:w="0" w:type="dxa"/>
        </w:tblCellMar>
      </w:tblPr>
      <w:tblGrid>
        <w:gridCol w:w="3695"/>
        <w:gridCol w:w="90"/>
        <w:gridCol w:w="200"/>
        <w:gridCol w:w="977"/>
        <w:gridCol w:w="288"/>
        <w:gridCol w:w="105"/>
        <w:gridCol w:w="200"/>
        <w:gridCol w:w="977"/>
        <w:gridCol w:w="290"/>
      </w:tblGrid>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9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0"/>
              <w:jc w:val="center"/>
              <w:rPr>
                <w:b/>
              </w:rPr>
            </w:pPr>
            <w:r>
              <w:rPr>
                <w:b/>
              </w:rPr>
              <w:t>(Dollars in thousands)</w:t>
            </w:r>
          </w:p>
        </w:tc>
        <w:tc>
          <w:tcPr>
            <w:tcW w:w="29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lineRule="auto" w:line="240" w:before="0" w:after="0"/>
              <w:jc w:val="left"/>
              <w:rPr/>
            </w:pPr>
            <w:r>
              <w:rPr/>
              <w:t>Average investments(1)</w:t>
            </w:r>
          </w:p>
        </w:tc>
        <w:tc>
          <w:tcPr>
            <w:tcW w:w="9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297,722</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280,420</w:t>
            </w:r>
          </w:p>
        </w:tc>
        <w:tc>
          <w:tcPr>
            <w:tcW w:w="290" w:type="dxa"/>
            <w:tcBorders/>
            <w:shd w:fill="CCEEFF" w:val="clear"/>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jc w:val="left"/>
              <w:rPr/>
            </w:pPr>
            <w:r>
              <w:rPr/>
              <w:t>Net investment income</w:t>
            </w:r>
          </w:p>
        </w:tc>
        <w:tc>
          <w:tcPr>
            <w:tcW w:w="9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10,266</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9,791</w:t>
            </w:r>
          </w:p>
        </w:tc>
        <w:tc>
          <w:tcPr>
            <w:tcW w:w="29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jc w:val="left"/>
              <w:rPr/>
            </w:pPr>
            <w:r>
              <w:rPr/>
              <w:t>Average yield on investments</w:t>
            </w:r>
          </w:p>
        </w:tc>
        <w:tc>
          <w:tcPr>
            <w:tcW w:w="9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3.5</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3.5</w:t>
            </w:r>
          </w:p>
        </w:tc>
        <w:tc>
          <w:tcPr>
            <w:tcW w:w="290" w:type="dxa"/>
            <w:tcBorders/>
            <w:shd w:fill="CCEEFF" w:val="clear"/>
            <w:vAlign w:val="bottom"/>
          </w:tcPr>
          <w:p>
            <w:pPr>
              <w:pStyle w:val="TableContents"/>
              <w:bidi w:val="0"/>
              <w:spacing w:before="0" w:after="0"/>
              <w:jc w:val="left"/>
              <w:rPr/>
            </w:pPr>
            <w:r>
              <w:rPr/>
              <w:t>%</w:t>
            </w:r>
          </w:p>
        </w:tc>
      </w:tr>
      <w:tr>
        <w:trPr/>
        <w:tc>
          <w:tcPr>
            <w:tcW w:w="3695" w:type="dxa"/>
            <w:tcBorders/>
            <w:vAlign w:val="bottom"/>
          </w:tcPr>
          <w:p>
            <w:pPr>
              <w:pStyle w:val="TableContents"/>
              <w:bidi w:val="0"/>
              <w:spacing w:before="0" w:after="0"/>
              <w:jc w:val="left"/>
              <w:rPr/>
            </w:pPr>
            <w:r>
              <w:rPr/>
              <w:t>Realized investment gains (losses), net</w:t>
            </w:r>
          </w:p>
        </w:tc>
        <w:tc>
          <w:tcPr>
            <w:tcW w:w="9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(471</w:t>
            </w:r>
          </w:p>
        </w:tc>
        <w:tc>
          <w:tcPr>
            <w:tcW w:w="288"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1,210</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b7bd3d96a7724f03a35d0c92474a0791"/>
      <w:bookmarkStart w:id="64" w:name="zb7bd3d96a7724f03a35d0c92474a0791"/>
      <w:bookmarkEnd w:id="64"/>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both"/>
              <w:rPr/>
            </w:pPr>
            <w:r>
              <w:rPr/>
              <w:t>(1)</w:t>
            </w:r>
          </w:p>
        </w:tc>
        <w:tc>
          <w:tcPr>
            <w:tcW w:w="9899" w:type="dxa"/>
            <w:tcBorders/>
            <w:vAlign w:val="center"/>
          </w:tcPr>
          <w:p>
            <w:pPr>
              <w:pStyle w:val="TableContents"/>
              <w:bidi w:val="0"/>
              <w:spacing w:before="0" w:after="0"/>
              <w:jc w:val="both"/>
              <w:rPr/>
            </w:pPr>
            <w:r>
              <w:rPr/>
              <w:t>Calculated as the average of cash and investment balances (at amortized cost) at the beginning of the year and at the end of each of the succeeding four quarters.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engages a global investment management firm serving the insurance industry to manage the Company’s investment portfolios. Management’s recent investment strategy has been a continued focus on quality and diversification, while improving the overall risk versus return profile of the portfolio.</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65" w:name="HumanCapital"/>
      <w:bookmarkEnd w:id="65"/>
      <w:r>
        <w:rPr>
          <w:rFonts w:ascii="Times New Roman" w:hAnsi="Times New Roman"/>
          <w:b/>
          <w:sz w:val="20"/>
        </w:rPr>
        <w:t>Human Capital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and its subsidiaries employed 166 people at December 31, 2025. Of the 166 people, 163 were full-time. We believe that our ability to attract and retain highly motivated and skilled employees with diverse backgrounds and experiences is critical to our continued success. We also believe the structure of our compensation program is aligned with the interests of our shareholders and serves to reward the performance of our employees. We monitor and evaluate the effectiveness of our human capital management efforts by seeking formal and informal feedback from our employees, including periodic surveys to obtain opinions on key topics.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sponsor health and wellness programs in an effort to promote a healthier employee base. We also offer competitive health and wellbeing benefits to include health, dental, vision, health and flexible savings accounts, disability, life, supplemental and telemedicine. An Employee Assistance Program (“EAP”) is provided to all full-time employees and their family members at no cost. The EAP offers confidential telephonic counseling, referral services, legal and financial services and additional tools that offer support and solutions. Additionally, we offer a 401(k) retirement savings plan with an employer match as well as an annual Safe Harbor Non-Elective contribution.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We strive to provide a work environment that encourages work/life balance. Options depend on job responsibilities and may include flexible work schedules, paid time off, paid holidays and part-time employment.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offer tuition reimbursement along with budgeted professional development opportunities in order to foster professional growth and to increase skillsets.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66" w:name="FinancialInformationbyInd"/>
      <w:bookmarkEnd w:id="66"/>
      <w:r>
        <w:rPr>
          <w:rFonts w:ascii="Times New Roman" w:hAnsi="Times New Roman"/>
          <w:b/>
          <w:sz w:val="20"/>
        </w:rPr>
        <w:t>Financial Information by Industry Segment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Parent’s primary insurance subsidiaries operate with relative autonomy with the oversight of the Chief Operating Decision Maker (“CODM”) and each company is evaluated based on its individual performance. Our CODM is the Company’s Chairman of the Board, President and Chief Executive Officer. American Southern operates in the property and casualty insurance market, while Bankers Fidelity operates in the life and health insurance market. Each segment derives revenue from the collection of premiums, as well as from investment income. Substantially all revenue other than that in the corporate and other segment is from external sources. For more information on segments, see Note 18 of 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67" w:name="AvailableInformation"/>
      <w:bookmarkEnd w:id="67"/>
      <w:r>
        <w:rPr>
          <w:rFonts w:ascii="Times New Roman" w:hAnsi="Times New Roman"/>
          <w:b/>
          <w:sz w:val="20"/>
        </w:rPr>
        <w:t>Available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files annual reports on Form 10-K, quarterly reports on Form 10-Q, current reports on Form 8-K, amendments to those reports and other information with the SEC. The SEC maintains a website at www.sec.gov that contains reports, proxy and information statements and other information regarding issuers that file electronically with the SEC, including the Company. In addition, as soon as reasonably practicable after such materials are filed with or furnished to the SEC by the Company, the Company makes copies available to the public, free of charge, on or through its web site at www.atlam.com. Neither the Company’s website, nor the information appearing on the website, is included, incorporated into, or a part of, this report.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bookmarkStart w:id="68" w:name="ExecutiveOfficersoftheReg"/>
      <w:bookmarkEnd w:id="68"/>
      <w:r>
        <w:rPr>
          <w:rFonts w:ascii="Times New Roman" w:hAnsi="Times New Roman"/>
          <w:b/>
          <w:sz w:val="20"/>
        </w:rPr>
        <w:t>Executive Officers of the Registrant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table and information below set forth, for each current executive officer of the Company, their name, age (as of October 1, 2026), positions with the Company and business experience for the past five years, as well as any prior service to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b3bc54611bf147ec9551573e07749002"/>
      <w:bookmarkStart w:id="70" w:name="zb3bc54611bf147ec9551573e07749002"/>
      <w:bookmarkEnd w:id="70"/>
    </w:p>
    <w:tbl>
      <w:tblPr>
        <w:tblW w:w="9200" w:type="dxa"/>
        <w:jc w:val="left"/>
        <w:tblInd w:w="0" w:type="dxa"/>
        <w:tblLayout w:type="fixed"/>
        <w:tblCellMar>
          <w:top w:w="0" w:type="dxa"/>
          <w:left w:w="0" w:type="dxa"/>
          <w:bottom w:w="28" w:type="dxa"/>
          <w:right w:w="0" w:type="dxa"/>
        </w:tblCellMar>
      </w:tblPr>
      <w:tblGrid>
        <w:gridCol w:w="2060"/>
        <w:gridCol w:w="90"/>
        <w:gridCol w:w="455"/>
        <w:gridCol w:w="90"/>
        <w:gridCol w:w="3830"/>
        <w:gridCol w:w="90"/>
        <w:gridCol w:w="2585"/>
      </w:tblGrid>
      <w:tr>
        <w:trPr/>
        <w:tc>
          <w:tcPr>
            <w:tcW w:w="2060" w:type="dxa"/>
            <w:tcBorders>
              <w:bottom w:val="single" w:sz="12" w:space="0" w:color="000000"/>
            </w:tcBorders>
            <w:vAlign w:val="center"/>
          </w:tcPr>
          <w:p>
            <w:pPr>
              <w:pStyle w:val="TableContents"/>
              <w:bidi w:val="0"/>
              <w:spacing w:before="0" w:after="0"/>
              <w:jc w:val="center"/>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0"/>
              <w:jc w:val="center"/>
              <w:rPr>
                <w:b/>
              </w:rPr>
            </w:pPr>
            <w:r>
              <w:rPr>
                <w:b/>
              </w:rPr>
              <w:t>Age</w:t>
            </w:r>
          </w:p>
        </w:tc>
        <w:tc>
          <w:tcPr>
            <w:tcW w:w="90" w:type="dxa"/>
            <w:tcBorders/>
            <w:tcMar>
              <w:bottom w:w="0" w:type="dxa"/>
            </w:tcMar>
            <w:vAlign w:val="center"/>
          </w:tcPr>
          <w:p>
            <w:pPr>
              <w:pStyle w:val="TableContents"/>
              <w:bidi w:val="0"/>
              <w:spacing w:before="0" w:after="283"/>
              <w:jc w:val="left"/>
              <w:rPr/>
            </w:pPr>
            <w:r>
              <w:rPr/>
              <w:t> </w:t>
            </w:r>
          </w:p>
        </w:tc>
        <w:tc>
          <w:tcPr>
            <w:tcW w:w="3830" w:type="dxa"/>
            <w:tcBorders>
              <w:bottom w:val="single" w:sz="12" w:space="0" w:color="000000"/>
            </w:tcBorders>
            <w:vAlign w:val="center"/>
          </w:tcPr>
          <w:p>
            <w:pPr>
              <w:pStyle w:val="TableContents"/>
              <w:bidi w:val="0"/>
              <w:spacing w:before="0" w:after="0"/>
              <w:jc w:val="center"/>
              <w:rPr>
                <w:b/>
              </w:rPr>
            </w:pPr>
            <w:r>
              <w:rPr>
                <w:b/>
              </w:rPr>
              <w:t>Positions with the Company</w:t>
            </w:r>
          </w:p>
        </w:tc>
        <w:tc>
          <w:tcPr>
            <w:tcW w:w="90" w:type="dxa"/>
            <w:tcBorders/>
            <w:tcMar>
              <w:bottom w:w="0" w:type="dxa"/>
            </w:tcMar>
            <w:vAlign w:val="center"/>
          </w:tcPr>
          <w:p>
            <w:pPr>
              <w:pStyle w:val="TableContents"/>
              <w:bidi w:val="0"/>
              <w:spacing w:before="0" w:after="283"/>
              <w:jc w:val="left"/>
              <w:rPr/>
            </w:pPr>
            <w:r>
              <w:rPr/>
              <w:t> </w:t>
            </w:r>
          </w:p>
        </w:tc>
        <w:tc>
          <w:tcPr>
            <w:tcW w:w="2585" w:type="dxa"/>
            <w:tcBorders>
              <w:bottom w:val="single" w:sz="12" w:space="0" w:color="000000"/>
            </w:tcBorders>
            <w:vAlign w:val="center"/>
          </w:tcPr>
          <w:p>
            <w:pPr>
              <w:pStyle w:val="TableContents"/>
              <w:bidi w:val="0"/>
              <w:spacing w:before="0" w:after="0"/>
              <w:jc w:val="center"/>
              <w:rPr>
                <w:b/>
              </w:rPr>
            </w:pPr>
            <w:r>
              <w:rPr>
                <w:b/>
              </w:rPr>
              <w:t>Director or Officer Since</w:t>
            </w:r>
          </w:p>
        </w:tc>
      </w:tr>
      <w:tr>
        <w:trPr/>
        <w:tc>
          <w:tcPr>
            <w:tcW w:w="2060" w:type="dxa"/>
            <w:tcBorders/>
            <w:shd w:fill="CCEEFF" w:val="clear"/>
            <w:tcMar>
              <w:bottom w:w="0" w:type="dxa"/>
            </w:tcMar>
            <w:vAlign w:val="center"/>
          </w:tcPr>
          <w:p>
            <w:pPr>
              <w:pStyle w:val="TableContents"/>
              <w:bidi w:val="0"/>
              <w:spacing w:before="0" w:after="0"/>
              <w:jc w:val="left"/>
              <w:rPr/>
            </w:pPr>
            <w:r>
              <w:rPr/>
              <w:t>Hilton H. Howell, Jr.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pPr>
            <w:r>
              <w:rPr/>
              <w:t>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30" w:type="dxa"/>
            <w:tcBorders/>
            <w:shd w:fill="CCEEFF" w:val="clear"/>
            <w:tcMar>
              <w:bottom w:w="0" w:type="dxa"/>
            </w:tcMar>
            <w:vAlign w:val="center"/>
          </w:tcPr>
          <w:p>
            <w:pPr>
              <w:pStyle w:val="TableContents"/>
              <w:bidi w:val="0"/>
              <w:spacing w:before="0" w:after="0"/>
              <w:jc w:val="left"/>
              <w:rPr/>
            </w:pPr>
            <w:r>
              <w:rPr/>
              <w:t>Chairman of the Board, President, CEO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5" w:type="dxa"/>
            <w:tcBorders/>
            <w:shd w:fill="CCEEFF" w:val="clear"/>
            <w:tcMar>
              <w:bottom w:w="0" w:type="dxa"/>
            </w:tcMar>
            <w:vAlign w:val="center"/>
          </w:tcPr>
          <w:p>
            <w:pPr>
              <w:pStyle w:val="TableContents"/>
              <w:bidi w:val="0"/>
              <w:spacing w:before="0" w:after="0"/>
              <w:jc w:val="center"/>
              <w:rPr/>
            </w:pPr>
            <w:r>
              <w:rPr/>
              <w:t>1992</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Officers are elected annually and serve at the discretion of the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Mr. Howell</w:t>
      </w:r>
      <w:r>
        <w:rPr>
          <w:rFonts w:ascii="Times New Roman" w:hAnsi="Times New Roman"/>
          <w:sz w:val="20"/>
        </w:rPr>
        <w:t xml:space="preserve"> has been President and Chief Executive Officer of the Company since May 1995, and prior thereto served as Executive Vice President of the Company from October 1992 to May 1995. He has been a Director of the Company since October 1992 and, effective February 24, 2009, began serving as Chairman of the board of directors. He is also Executive Chairman and Chief Executive Officer of Gray Media, Inc.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42e58ee4f92f4d65ad8887a9bdd7df2a"/>
      <w:bookmarkStart w:id="72" w:name="RiskFactors"/>
      <w:bookmarkStart w:id="73" w:name="z42e58ee4f92f4d65ad8887a9bdd7df2a"/>
      <w:bookmarkStart w:id="74" w:name="RiskFactors"/>
      <w:bookmarkEnd w:id="73"/>
      <w:bookmarkEnd w:id="74"/>
    </w:p>
    <w:tbl>
      <w:tblPr>
        <w:tblW w:w="2335" w:type="dxa"/>
        <w:jc w:val="left"/>
        <w:tblInd w:w="0" w:type="dxa"/>
        <w:tblLayout w:type="fixed"/>
        <w:tblCellMar>
          <w:top w:w="0" w:type="dxa"/>
          <w:left w:w="0" w:type="dxa"/>
          <w:bottom w:w="0" w:type="dxa"/>
          <w:right w:w="0" w:type="dxa"/>
        </w:tblCellMar>
      </w:tblPr>
      <w:tblGrid>
        <w:gridCol w:w="950"/>
        <w:gridCol w:w="1385"/>
      </w:tblGrid>
      <w:tr>
        <w:trPr/>
        <w:tc>
          <w:tcPr>
            <w:tcW w:w="950" w:type="dxa"/>
            <w:tcBorders/>
            <w:vAlign w:val="center"/>
          </w:tcPr>
          <w:p>
            <w:pPr>
              <w:pStyle w:val="TableContents"/>
              <w:bidi w:val="0"/>
              <w:spacing w:before="0" w:after="283"/>
              <w:jc w:val="left"/>
              <w:rPr>
                <w:b/>
              </w:rPr>
            </w:pPr>
            <w:r>
              <w:rPr>
                <w:b/>
              </w:rPr>
              <w:t>Item 1A.</w:t>
            </w:r>
          </w:p>
        </w:tc>
        <w:tc>
          <w:tcPr>
            <w:tcW w:w="138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a smaller reporting company as defined by Rule 12b-2 of the Exchange Act and in Item 10(f)(1) of Regulation S-K (a “smaller reporting company”), we have elected to comply with certain scaled disclosure reporting obligations, and therefore are not providing the information required by this Item.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6b17a677d7bb443b930c6a9ba813a67e"/>
      <w:bookmarkStart w:id="76" w:name="UnresolvedStaffComments"/>
      <w:bookmarkStart w:id="77" w:name="z6b17a677d7bb443b930c6a9ba813a67e"/>
      <w:bookmarkStart w:id="78" w:name="UnresolvedStaffComments"/>
      <w:bookmarkEnd w:id="77"/>
      <w:bookmarkEnd w:id="78"/>
    </w:p>
    <w:tbl>
      <w:tblPr>
        <w:tblW w:w="3880" w:type="dxa"/>
        <w:jc w:val="left"/>
        <w:tblInd w:w="0" w:type="dxa"/>
        <w:tblLayout w:type="fixed"/>
        <w:tblCellMar>
          <w:top w:w="0" w:type="dxa"/>
          <w:left w:w="0" w:type="dxa"/>
          <w:bottom w:w="0" w:type="dxa"/>
          <w:right w:w="0" w:type="dxa"/>
        </w:tblCellMar>
      </w:tblPr>
      <w:tblGrid>
        <w:gridCol w:w="935"/>
        <w:gridCol w:w="2945"/>
      </w:tblGrid>
      <w:tr>
        <w:trPr/>
        <w:tc>
          <w:tcPr>
            <w:tcW w:w="935" w:type="dxa"/>
            <w:tcBorders/>
            <w:vAlign w:val="center"/>
          </w:tcPr>
          <w:p>
            <w:pPr>
              <w:pStyle w:val="TableContents"/>
              <w:bidi w:val="0"/>
              <w:spacing w:before="0" w:after="283"/>
              <w:jc w:val="left"/>
              <w:rPr>
                <w:b/>
              </w:rPr>
            </w:pPr>
            <w:r>
              <w:rPr>
                <w:b/>
              </w:rPr>
              <w:t>Item 1B.</w:t>
            </w:r>
          </w:p>
        </w:tc>
        <w:tc>
          <w:tcPr>
            <w:tcW w:w="2945"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9b171a2430cf478f81acee24666c93aa"/>
      <w:bookmarkStart w:id="80" w:name="Cybersecurity"/>
      <w:bookmarkStart w:id="81" w:name="z9b171a2430cf478f81acee24666c93aa"/>
      <w:bookmarkStart w:id="82" w:name="Cybersecurity"/>
      <w:bookmarkEnd w:id="81"/>
      <w:bookmarkEnd w:id="82"/>
    </w:p>
    <w:tbl>
      <w:tblPr>
        <w:tblW w:w="2485" w:type="dxa"/>
        <w:jc w:val="left"/>
        <w:tblInd w:w="0" w:type="dxa"/>
        <w:tblLayout w:type="fixed"/>
        <w:tblCellMar>
          <w:top w:w="0" w:type="dxa"/>
          <w:left w:w="0" w:type="dxa"/>
          <w:bottom w:w="0" w:type="dxa"/>
          <w:right w:w="0" w:type="dxa"/>
        </w:tblCellMar>
      </w:tblPr>
      <w:tblGrid>
        <w:gridCol w:w="950"/>
        <w:gridCol w:w="1535"/>
      </w:tblGrid>
      <w:tr>
        <w:trPr/>
        <w:tc>
          <w:tcPr>
            <w:tcW w:w="950" w:type="dxa"/>
            <w:tcBorders/>
            <w:vAlign w:val="center"/>
          </w:tcPr>
          <w:p>
            <w:pPr>
              <w:pStyle w:val="TableContents"/>
              <w:bidi w:val="0"/>
              <w:spacing w:before="0" w:after="283"/>
              <w:jc w:val="left"/>
              <w:rPr>
                <w:b/>
              </w:rPr>
            </w:pPr>
            <w:r>
              <w:rPr>
                <w:b/>
              </w:rPr>
              <w:t>Item 1C.</w:t>
            </w:r>
          </w:p>
        </w:tc>
        <w:tc>
          <w:tcPr>
            <w:tcW w:w="1535" w:type="dxa"/>
            <w:tcBorders/>
            <w:vAlign w:val="center"/>
          </w:tcPr>
          <w:p>
            <w:pPr>
              <w:pStyle w:val="TableContents"/>
              <w:bidi w:val="0"/>
              <w:spacing w:before="0" w:after="0"/>
              <w:jc w:val="left"/>
              <w:rPr>
                <w:b/>
              </w:rPr>
            </w:pPr>
            <w:r>
              <w:rPr>
                <w:b/>
              </w:rPr>
              <w:t>Cybersecurity</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Risk Management and Strategy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operations rely on the secure processing, storage, and transmission of confidential and personal identifiable information within various technology platforms. Cybersecurity is a high priority and the Company has made significant investments in its processes and programs designed to prevent, detect, and respond to and recover from cybersecurity threats. We also have processes in place to help ensure compliance with our information security program with respect to our use of third-party service providers, including review of vendor certifications, execution of appropriate data protection agreements, and contractual security requirements. The Company is actively maturing its third-party risk management program to establish risk-based vendor tiering, due diligence standards, and ongoing monitoring controls for vendors. The Company’s cybersecurity program is structured around the National Institute of Standards and Technology (“NIST”) Cybersecurity Framework (“CSF”), which guides our approach to identifying, protecting, detecting, responding to, and recovering from cybersecurity risks. The Company maintains an active cybersecurity roadmap aligned to NIST CSF to continuously mature its security posture and address identified risks. Such processes and programs are a part of the Company’s overall risk management and compliance programs. The Company continues to enhance its intrusion protection and detection technology, infrastructure and application firewalls, and network monitoring. The Company has also installed advanced endpoint threat protection technology and implemented a mandatory security awareness training program for all employees. The Company enforces multi-factor authentication and least-privilege access principles across critical systems. The Company has identified its current network architecture as an area of elevated risk and is actively executing a cybersecurity roadmap, aligned to the NIST CSF, to transition to a segmented, enterprise-grade network infrastructure. This initiative includes the replacement of end-of-life network equipment and the implementation of network segmentation controls to reduce lateral movement risk. This training is reinforced through periodic simulated phishing tests to assess our employees’ responses to suspicious emails.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maintains backup and recovery capabilities designed to help enable us to resume business in the event of a disaster or cybersecurity incident. The Company has identified resilience and recovery as a key area of focus within its cybersecurity roadmap and is actively working toward implementing cloud-enabled Business Continuity and Disaster Recovery (“BCDR”) with validated, tested recovery objectives designed to meet applicable BCDR compliance requirements. Through recurring internal audits, controls are regularly reviewed, tested, and enhanced to promote best practices. The Company recognizes ransomware and software supply chain compromises as significant threat vectors and is implementing controls including vendor integrity validation, and rapid isolation protocols as part of its evolving incident response capabilities. The Company has augmented our information security program through a partnership with a leading global cybersecurity service provider to review and implement additional services such as Security Event Monitoring, Advanced Endpoint Threat Detection, Incident Management Retainer Services, and Strategic Advisory Services focused on Chief Information Officer (“CIO”) duties such as counter-threat intelligence.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information security program also includes a cybersecurity Incident Response Plan (“IRP”) that is designed to help protect the integrity, availability and confidentiality of information, prevent loss of service, and comply with legal requirements. The IRP specifies the process for identifying and reporting an incident, initial investigation, risk classification, documentation and communication of incidents, responder procedures, incident reporting, and ongoing training. The IRP also includes processes for determining the materiality of the incident, including the assessment of relevant qualitative and quantitative factors. Upon identifying a potential cybersecurity incident, the Company follows a structured assessment process to determine materiality and, where applicable, fulfill its obligation to disclose such incident in accordance with SEC rules. In the event we identify a potential cybersecurity, privacy or other data security issue, we have defined procedures for responding to such issues, including procedures that address when and how to engage with Company management, our board of directors, third-party advisors and other stakeholders.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also maintains dedicated cyber liability insurance for breach event costs including: post breach event remediation costs; cybercrime coverage (including financial fraud, telecommunications fraud, and phishing attacks); and coverage for system failure, bricking loss, and physical damage. The policy also provides coverage for lost revenue due to a damaged reputation from a cyber breach.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While no cybersecurity incidents have materially affected or are reasonably likely to materially affect our operations to date, there can be no assurance that future incidents will not have a material impact on the Company’s business, financial condition, or results of operations.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Governance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board of directors recognizes the important role of information security and mitigating cybersecurity and other data security threats. Although our full board of directors maintains ultimate responsibility with respect to risk management oversight, our board of directors has delegated oversight of the Company’s information security program and matters of cybersecurity to the Audit Committee of the board of directors. The Audit Committee receives regular briefings from the CIO on the state of the cybersecurity program, emerging threats, and the Company’s risk mitigation progress against its cybersecurity roadmap. The Company’s senior officers, including its CIO, are responsible for the operation of the information security program and regularly communicate with the Audit Committee on the state of the program, risks faced by the Company and the Company’s risk mitigation efforts related thereto. The Company’s CIO, supported by a dedicated information security team, is responsible for the day-to-day management of the information security program and regularly briefs the Audit Committee on cybersecurity risks, program status, and risk mitigation efforts.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the Company’s information technology environment is managed by an experienced team of professionals who follow an extensive set of policies and procedures related to data security. Our data security employees have backgrounds in cybersecurity and data protection, including prior relevant experience in the industry and industry standard certifications.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13a6284ac39c48e19cab1cca93312e16"/>
      <w:bookmarkStart w:id="84" w:name="Properties"/>
      <w:bookmarkStart w:id="85" w:name="z13a6284ac39c48e19cab1cca93312e16"/>
      <w:bookmarkStart w:id="86" w:name="Properties"/>
      <w:bookmarkEnd w:id="85"/>
      <w:bookmarkEnd w:id="86"/>
    </w:p>
    <w:tbl>
      <w:tblPr>
        <w:tblW w:w="1915" w:type="dxa"/>
        <w:jc w:val="left"/>
        <w:tblInd w:w="0" w:type="dxa"/>
        <w:tblLayout w:type="fixed"/>
        <w:tblCellMar>
          <w:top w:w="0" w:type="dxa"/>
          <w:left w:w="0" w:type="dxa"/>
          <w:bottom w:w="0" w:type="dxa"/>
          <w:right w:w="0" w:type="dxa"/>
        </w:tblCellMar>
      </w:tblPr>
      <w:tblGrid>
        <w:gridCol w:w="770"/>
        <w:gridCol w:w="1145"/>
      </w:tblGrid>
      <w:tr>
        <w:trPr/>
        <w:tc>
          <w:tcPr>
            <w:tcW w:w="770" w:type="dxa"/>
            <w:tcBorders/>
            <w:vAlign w:val="center"/>
          </w:tcPr>
          <w:p>
            <w:pPr>
              <w:pStyle w:val="TableContents"/>
              <w:bidi w:val="0"/>
              <w:spacing w:before="0" w:after="283"/>
              <w:jc w:val="left"/>
              <w:rPr>
                <w:b/>
              </w:rPr>
            </w:pPr>
            <w:r>
              <w:rPr>
                <w:b/>
              </w:rPr>
              <w:t>Item 2.</w:t>
            </w:r>
          </w:p>
        </w:tc>
        <w:tc>
          <w:tcPr>
            <w:tcW w:w="1145" w:type="dxa"/>
            <w:tcBorders/>
            <w:vAlign w:val="center"/>
          </w:tcPr>
          <w:p>
            <w:pPr>
              <w:pStyle w:val="TableContents"/>
              <w:bidi w:val="0"/>
              <w:spacing w:before="0" w:after="0"/>
              <w:jc w:val="left"/>
              <w:rPr>
                <w:b/>
              </w:rPr>
            </w:pPr>
            <w:r>
              <w:rPr>
                <w:b/>
              </w:rPr>
              <w:t>Properties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Leased Properties.</w:t>
      </w:r>
      <w:r>
        <w:rPr>
          <w:rFonts w:ascii="Times New Roman" w:hAnsi="Times New Roman"/>
          <w:sz w:val="20"/>
        </w:rPr>
        <w:t xml:space="preserve"> The Company leases space for its principal offices and for some of its insurance operations in an office building located in Atlanta, Georgia under a lease which continues until either party provides written notice of cancellation at least twelve months in advance of the actual termination date (as amended, the “Lease Agreement”). The lease, which commenced on November 1, 2007, provides for rent adjustments on every fifth anniversary of the commencement date. Under the current terms of the lease, the Company occupies approximately 49,586 square feet of office space. The owner of the building, 4370 Peachtree LLC, is controlled by an affiliate of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December 26, 2024, the Company, and its subsidiary, Bankers Fidelity Life Insurance Company, entered into a Second Amendment to Lease Agreement (the “Second Amendment”) with 4370 Peachtree LLC. Pursuant to the Second Amendment, the Lease Agreement was modified to increase the base rent payable by the Company, beginning January 1, 2025. The Second Amendment also provides for rent adjustment on January 1, 2027, January 1, 2030 and each five years thereafter.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leases space for its office in a building located in Atlanta, Georgia. The lease term expired September 30, 2026. The lease was amended on April 2, 2026 to extend the lease, commencing on October 1, 2026 and expiring on July 31, 2037. Under the terms of the lease, American Southern occupies approximately 17,014 square feet.</w:t>
      </w:r>
    </w:p>
    <w:p>
      <w:pPr>
        <w:pStyle w:val="TextBody"/>
        <w:bidi w:val="0"/>
        <w:spacing w:before="0" w:after="0"/>
        <w:jc w:val="left"/>
        <w:rPr/>
      </w:pPr>
      <w:r>
        <w:rPr/>
      </w:r>
    </w:p>
    <w:p>
      <w:pPr>
        <w:pStyle w:val="TextBody"/>
        <w:bidi w:val="0"/>
        <w:spacing w:before="0" w:after="0"/>
        <w:ind w:left="0" w:right="0" w:firstLine="675"/>
        <w:jc w:val="left"/>
        <w:rPr/>
      </w:pPr>
      <w:r>
        <w:rPr/>
        <w:t> </w:t>
      </w:r>
      <w:r>
        <w:rPr>
          <w:rFonts w:ascii="Times New Roman" w:hAnsi="Times New Roman"/>
          <w:sz w:val="20"/>
        </w:rPr>
        <w:t>American Southern has a second lease for additional office space in Columbia, South Carolina. The original term was three years and renewed for an additional three years, effective August 1, 2025 with a termination date on July 31, 2028. The rate used in determining the present value of lease payments is based upon an estimate of the Company’s incremental secured borrowing rate commensurate with the term of the underlying lease. The leased space is approximately 2,720 square feet.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believes that its current properties are in good condition and are sufficient for the operations of its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a39e20fb244349608f241a73c7774b19"/>
      <w:bookmarkStart w:id="88" w:name="LegalProceedings"/>
      <w:bookmarkStart w:id="89" w:name="za39e20fb244349608f241a73c7774b19"/>
      <w:bookmarkStart w:id="90" w:name="LegalProceedings"/>
      <w:bookmarkEnd w:id="89"/>
      <w:bookmarkEnd w:id="90"/>
    </w:p>
    <w:tbl>
      <w:tblPr>
        <w:tblW w:w="2725" w:type="dxa"/>
        <w:jc w:val="left"/>
        <w:tblInd w:w="0" w:type="dxa"/>
        <w:tblLayout w:type="fixed"/>
        <w:tblCellMar>
          <w:top w:w="0" w:type="dxa"/>
          <w:left w:w="0" w:type="dxa"/>
          <w:bottom w:w="0" w:type="dxa"/>
          <w:right w:w="0" w:type="dxa"/>
        </w:tblCellMar>
      </w:tblPr>
      <w:tblGrid>
        <w:gridCol w:w="770"/>
        <w:gridCol w:w="1955"/>
      </w:tblGrid>
      <w:tr>
        <w:trPr/>
        <w:tc>
          <w:tcPr>
            <w:tcW w:w="770" w:type="dxa"/>
            <w:tcBorders/>
            <w:vAlign w:val="center"/>
          </w:tcPr>
          <w:p>
            <w:pPr>
              <w:pStyle w:val="TableContents"/>
              <w:bidi w:val="0"/>
              <w:spacing w:before="0" w:after="283"/>
              <w:jc w:val="left"/>
              <w:rPr>
                <w:b/>
              </w:rPr>
            </w:pPr>
            <w:r>
              <w:rPr>
                <w:b/>
              </w:rPr>
              <w:t>Item 3.</w:t>
            </w:r>
          </w:p>
        </w:tc>
        <w:tc>
          <w:tcPr>
            <w:tcW w:w="195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From time to time, the Company and its subsidiaries are, and expect to continue to be, involved in various claims and lawsuits arising in the ordinary course of business, both as a liability insurer defending third-party claims brought against insureds and as an insurer defending coverage claims brought against it, and in various regulatory proceedings in the states in which we do business. The Company accounts for such exposures through the establishment of loss and loss adjustment expense reserves and accrued expenses. We currently do not expect that the ultimate liability, if any, with respect to such ordinary-course claims litigation or regulatory proceedings, after consideration of provisions made for probable losses and costs of defense, will be material to the Company’s consolidated financial condition, although the results of such matters could be material to the consolidated results of operations for any given period.</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91" w:name="zf29f2adb22c241feb8ae5b6bde98837e"/>
      <w:bookmarkStart w:id="92" w:name="MineSafetyDisclosures"/>
      <w:bookmarkStart w:id="93" w:name="zf29f2adb22c241feb8ae5b6bde98837e"/>
      <w:bookmarkStart w:id="94" w:name="MineSafetyDisclosures"/>
      <w:bookmarkEnd w:id="93"/>
      <w:bookmarkEnd w:id="94"/>
    </w:p>
    <w:tbl>
      <w:tblPr>
        <w:tblW w:w="3280" w:type="dxa"/>
        <w:jc w:val="left"/>
        <w:tblInd w:w="0" w:type="dxa"/>
        <w:tblLayout w:type="fixed"/>
        <w:tblCellMar>
          <w:top w:w="0" w:type="dxa"/>
          <w:left w:w="0" w:type="dxa"/>
          <w:bottom w:w="0" w:type="dxa"/>
          <w:right w:w="0" w:type="dxa"/>
        </w:tblCellMar>
      </w:tblPr>
      <w:tblGrid>
        <w:gridCol w:w="770"/>
        <w:gridCol w:w="2510"/>
      </w:tblGrid>
      <w:tr>
        <w:trPr/>
        <w:tc>
          <w:tcPr>
            <w:tcW w:w="770" w:type="dxa"/>
            <w:tcBorders/>
            <w:vAlign w:val="center"/>
          </w:tcPr>
          <w:p>
            <w:pPr>
              <w:pStyle w:val="TableContents"/>
              <w:bidi w:val="0"/>
              <w:spacing w:before="0" w:after="283"/>
              <w:jc w:val="left"/>
              <w:rPr>
                <w:b/>
              </w:rPr>
            </w:pPr>
            <w:r>
              <w:rPr>
                <w:b/>
              </w:rPr>
              <w:t>Item 4.</w:t>
            </w:r>
          </w:p>
        </w:tc>
        <w:tc>
          <w:tcPr>
            <w:tcW w:w="2510"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Not applicable.</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472d7a3470e24571ac6b19410adc02fb"/>
      <w:bookmarkStart w:id="96" w:name="MarketforRegistrantsCommo"/>
      <w:bookmarkStart w:id="97" w:name="z472d7a3470e24571ac6b19410adc02fb"/>
      <w:bookmarkStart w:id="98" w:name="MarketforRegistrantsCommo"/>
      <w:bookmarkEnd w:id="97"/>
      <w:bookmarkEnd w:id="98"/>
    </w:p>
    <w:tbl>
      <w:tblPr>
        <w:tblW w:w="10205" w:type="dxa"/>
        <w:jc w:val="left"/>
        <w:tblInd w:w="0" w:type="dxa"/>
        <w:tblLayout w:type="fixed"/>
        <w:tblCellMar>
          <w:top w:w="0" w:type="dxa"/>
          <w:left w:w="0" w:type="dxa"/>
          <w:bottom w:w="0" w:type="dxa"/>
          <w:right w:w="0" w:type="dxa"/>
        </w:tblCellMar>
      </w:tblPr>
      <w:tblGrid>
        <w:gridCol w:w="720"/>
        <w:gridCol w:w="9485"/>
      </w:tblGrid>
      <w:tr>
        <w:trPr/>
        <w:tc>
          <w:tcPr>
            <w:tcW w:w="720" w:type="dxa"/>
            <w:tcBorders/>
            <w:vAlign w:val="center"/>
          </w:tcPr>
          <w:p>
            <w:pPr>
              <w:pStyle w:val="TableContents"/>
              <w:bidi w:val="0"/>
              <w:spacing w:before="0" w:after="283"/>
              <w:jc w:val="left"/>
              <w:rPr>
                <w:b/>
              </w:rPr>
            </w:pPr>
            <w:r>
              <w:rPr>
                <w:b/>
              </w:rPr>
              <w:t>Item 5.</w:t>
            </w:r>
          </w:p>
        </w:tc>
        <w:tc>
          <w:tcPr>
            <w:tcW w:w="9485" w:type="dxa"/>
            <w:tcBorders/>
            <w:vAlign w:val="center"/>
          </w:tcPr>
          <w:p>
            <w:pPr>
              <w:pStyle w:val="TableContents"/>
              <w:bidi w:val="0"/>
              <w:spacing w:before="0" w:after="0"/>
              <w:jc w:val="left"/>
              <w:rPr>
                <w:b/>
              </w:rPr>
            </w:pPr>
            <w:r>
              <w:rPr>
                <w:b/>
              </w:rPr>
              <w:t>Market for Registrant’s Common Equity, Related Shareholder Matters and Issuer Purchases of Equity Securities</w:t>
            </w:r>
          </w:p>
        </w:tc>
      </w:tr>
    </w:tbl>
    <w:p>
      <w:pPr>
        <w:pStyle w:val="TextBody"/>
        <w:bidi w:val="0"/>
        <w:spacing w:before="0" w:after="0"/>
        <w:jc w:val="left"/>
        <w:rPr>
          <w:color w:val="000000"/>
        </w:rPr>
      </w:pPr>
      <w:r>
        <w:rPr>
          <w:color w:val="000000"/>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common stock is listed on the Nasdaq Global Market (Symbol: AAME). As of September 1, 2026, there were 1,156 shareholders of record.</w:t>
      </w:r>
    </w:p>
    <w:p>
      <w:pPr>
        <w:pStyle w:val="TextBody"/>
        <w:bidi w:val="0"/>
        <w:spacing w:before="0" w:after="0"/>
        <w:jc w:val="left"/>
        <w:rPr>
          <w:color w:val="000000"/>
        </w:rPr>
      </w:pPr>
      <w:r>
        <w:rPr>
          <w:color w:val="000000"/>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declaration and payment of dividends is at the discretion of the Company’s board of directors and will depend upon the financial condition, capital requirements, and earnings of the Company, as well as any restrictions contained in any agreements by which the Company is bound and other factors as the board of directors may deem relevant. The Company’s primary recurring source of cash for the payment of dividends is div</w:t>
      </w:r>
      <w:r>
        <w:rPr>
          <w:rFonts w:ascii="Times New Roman" w:hAnsi="Times New Roman"/>
          <w:sz w:val="20"/>
        </w:rPr>
        <w:t>idends from its subsidiaries; although as of December 31, 2025, the Parent held unrestricted cash and investment balances of approximately $4.1 million. Under the insurance code of the state in which each insurance subsidiary is domiciled, dividend payments to the Parent by its insurance subsidiaries are subject to certain limitations, including prior notice to, or approval by, the state insurance commissioners if such dividends are in excess of specified amounts. In 2026, dividend payments to the Parent by the insurance subsidiaries in excess of $8.1 million would require prior approval.</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Issuer Purchases of Equity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2016, the board of directors of the Company approved a plan that allows for the repurchase of up to 750,000 shares of the Company’s common stock (the “Repurchase Plan”) on the open market or in privately negotiated transactions, as determined by an authorized officer of the Company. Any such repurchases can be made from time to time in accordance with applicable securities laws and other requirements.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 purchases of common stock of the Company were made by or on behalf of the Company during the periods described below.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table below sets forth information regarding repurchases by the Company of shares of its common stock on a monthly basis during the three month period ended December 31, 2025.</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3113"/>
        <w:gridCol w:w="90"/>
        <w:gridCol w:w="473"/>
        <w:gridCol w:w="657"/>
        <w:gridCol w:w="90"/>
        <w:gridCol w:w="90"/>
        <w:gridCol w:w="619"/>
        <w:gridCol w:w="455"/>
        <w:gridCol w:w="90"/>
        <w:gridCol w:w="90"/>
        <w:gridCol w:w="855"/>
        <w:gridCol w:w="1192"/>
        <w:gridCol w:w="90"/>
        <w:gridCol w:w="90"/>
        <w:gridCol w:w="202"/>
        <w:gridCol w:w="1885"/>
        <w:gridCol w:w="124"/>
      </w:tblGrid>
      <w:tr>
        <w:trPr/>
        <w:tc>
          <w:tcPr>
            <w:tcW w:w="3113" w:type="dxa"/>
            <w:tcBorders>
              <w:bottom w:val="single" w:sz="12" w:space="0" w:color="000000"/>
            </w:tcBorders>
            <w:vAlign w:val="center"/>
          </w:tcPr>
          <w:p>
            <w:pPr>
              <w:pStyle w:val="TableContents"/>
              <w:bidi w:val="0"/>
              <w:spacing w:before="0" w:after="0"/>
              <w:jc w:val="left"/>
              <w:rPr>
                <w:b/>
              </w:rPr>
            </w:pPr>
            <w:r>
              <w:rPr>
                <w:b/>
              </w:rPr>
              <w:t>Period</w:t>
            </w:r>
          </w:p>
        </w:tc>
        <w:tc>
          <w:tcPr>
            <w:tcW w:w="90" w:type="dxa"/>
            <w:tcBorders/>
            <w:tcMar>
              <w:bottom w:w="0" w:type="dxa"/>
            </w:tcMar>
            <w:vAlign w:val="center"/>
          </w:tcPr>
          <w:p>
            <w:pPr>
              <w:pStyle w:val="TableContents"/>
              <w:bidi w:val="0"/>
              <w:spacing w:before="0" w:after="283"/>
              <w:jc w:val="center"/>
              <w:rPr/>
            </w:pPr>
            <w:r>
              <w:rPr/>
              <w:t> </w:t>
            </w:r>
          </w:p>
        </w:tc>
        <w:tc>
          <w:tcPr>
            <w:tcW w:w="1130" w:type="dxa"/>
            <w:gridSpan w:val="2"/>
            <w:tcBorders>
              <w:bottom w:val="single" w:sz="12" w:space="0" w:color="000000"/>
            </w:tcBorders>
            <w:vAlign w:val="center"/>
          </w:tcPr>
          <w:p>
            <w:pPr>
              <w:pStyle w:val="TableContents"/>
              <w:bidi w:val="0"/>
              <w:spacing w:before="0" w:after="0"/>
              <w:jc w:val="center"/>
              <w:rPr>
                <w:b/>
              </w:rPr>
            </w:pPr>
            <w:r>
              <w:rPr>
                <w:b/>
              </w:rPr>
              <w:t>Total</w:t>
            </w:r>
          </w:p>
          <w:p>
            <w:pPr>
              <w:pStyle w:val="TableContents"/>
              <w:bidi w:val="0"/>
              <w:spacing w:before="0" w:after="0"/>
              <w:jc w:val="center"/>
              <w:rPr>
                <w:b/>
              </w:rPr>
            </w:pPr>
            <w:r>
              <w:rPr>
                <w:b/>
              </w:rPr>
              <w:t>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74" w:type="dxa"/>
            <w:gridSpan w:val="2"/>
            <w:tcBorders>
              <w:bottom w:val="single" w:sz="12" w:space="0" w:color="000000"/>
            </w:tcBorders>
            <w:vAlign w:val="center"/>
          </w:tcPr>
          <w:p>
            <w:pPr>
              <w:pStyle w:val="TableContents"/>
              <w:bidi w:val="0"/>
              <w:spacing w:before="0" w:after="0"/>
              <w:jc w:val="center"/>
              <w:rPr>
                <w:b/>
              </w:rPr>
            </w:pPr>
            <w:r>
              <w:rPr>
                <w:b/>
              </w:rPr>
              <w:t>Average</w:t>
            </w:r>
          </w:p>
          <w:p>
            <w:pPr>
              <w:pStyle w:val="TableContents"/>
              <w:bidi w:val="0"/>
              <w:spacing w:before="0" w:after="0"/>
              <w:jc w:val="center"/>
              <w:rPr>
                <w:b/>
              </w:rPr>
            </w:pPr>
            <w:r>
              <w:rPr>
                <w:b/>
              </w:rPr>
              <w:t>Price Paid</w:t>
            </w:r>
          </w:p>
          <w:p>
            <w:pPr>
              <w:pStyle w:val="TableContents"/>
              <w:bidi w:val="0"/>
              <w:spacing w:before="0" w:after="0"/>
              <w:jc w:val="center"/>
              <w:rPr>
                <w:b/>
              </w:rPr>
            </w:pPr>
            <w:r>
              <w:rPr>
                <w:b/>
              </w:rPr>
              <w:t>per Share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047" w:type="dxa"/>
            <w:gridSpan w:val="2"/>
            <w:tcBorders>
              <w:bottom w:val="single" w:sz="12" w:space="0" w:color="000000"/>
            </w:tcBorders>
            <w:vAlign w:val="center"/>
          </w:tcPr>
          <w:p>
            <w:pPr>
              <w:pStyle w:val="TableContents"/>
              <w:bidi w:val="0"/>
              <w:spacing w:before="0" w:after="0"/>
              <w:jc w:val="center"/>
              <w:rPr>
                <w:b/>
              </w:rPr>
            </w:pPr>
            <w:r>
              <w:rPr>
                <w:b/>
              </w:rPr>
              <w:t>Total</w:t>
            </w:r>
          </w:p>
          <w:p>
            <w:pPr>
              <w:pStyle w:val="TableContents"/>
              <w:bidi w:val="0"/>
              <w:spacing w:before="0" w:after="0"/>
              <w:jc w:val="center"/>
              <w:rPr>
                <w:b/>
              </w:rPr>
            </w:pPr>
            <w:r>
              <w:rPr>
                <w:b/>
              </w:rPr>
              <w:t>Number of Shares</w:t>
            </w:r>
          </w:p>
          <w:p>
            <w:pPr>
              <w:pStyle w:val="TableContents"/>
              <w:bidi w:val="0"/>
              <w:spacing w:before="0" w:after="0"/>
              <w:jc w:val="center"/>
              <w:rPr>
                <w:b/>
              </w:rPr>
            </w:pPr>
            <w:r>
              <w:rPr>
                <w:b/>
              </w:rPr>
              <w:t>Purchased as Part of</w:t>
            </w:r>
          </w:p>
          <w:p>
            <w:pPr>
              <w:pStyle w:val="TableContents"/>
              <w:bidi w:val="0"/>
              <w:spacing w:before="0" w:after="0"/>
              <w:jc w:val="center"/>
              <w:rPr>
                <w:b/>
              </w:rPr>
            </w:pPr>
            <w:r>
              <w:rPr>
                <w:b/>
              </w:rPr>
              <w:t>Publicly Announced</w:t>
            </w:r>
          </w:p>
          <w:p>
            <w:pPr>
              <w:pStyle w:val="TableContents"/>
              <w:bidi w:val="0"/>
              <w:spacing w:before="0" w:after="0"/>
              <w:jc w:val="center"/>
              <w:rPr>
                <w:b/>
              </w:rPr>
            </w:pPr>
            <w:r>
              <w:rPr>
                <w:b/>
              </w:rPr>
              <w:t>Plans or Programs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087" w:type="dxa"/>
            <w:gridSpan w:val="2"/>
            <w:tcBorders>
              <w:bottom w:val="single" w:sz="12" w:space="0" w:color="000000"/>
            </w:tcBorders>
            <w:vAlign w:val="center"/>
          </w:tcPr>
          <w:p>
            <w:pPr>
              <w:pStyle w:val="TableContents"/>
              <w:bidi w:val="0"/>
              <w:spacing w:before="0" w:after="0"/>
              <w:jc w:val="center"/>
              <w:rPr>
                <w:b/>
              </w:rPr>
            </w:pPr>
            <w:r>
              <w:rPr>
                <w:b/>
              </w:rPr>
              <w:t>Maximum</w:t>
            </w:r>
          </w:p>
          <w:p>
            <w:pPr>
              <w:pStyle w:val="TableContents"/>
              <w:bidi w:val="0"/>
              <w:spacing w:before="0" w:after="0"/>
              <w:jc w:val="center"/>
              <w:rPr>
                <w:b/>
              </w:rPr>
            </w:pPr>
            <w:r>
              <w:rPr>
                <w:b/>
              </w:rPr>
              <w:t>Number of Shares</w:t>
            </w:r>
          </w:p>
          <w:p>
            <w:pPr>
              <w:pStyle w:val="TableContents"/>
              <w:bidi w:val="0"/>
              <w:spacing w:before="0" w:after="0"/>
              <w:jc w:val="center"/>
              <w:rPr>
                <w:b/>
              </w:rPr>
            </w:pPr>
            <w:r>
              <w:rPr>
                <w:b/>
              </w:rPr>
              <w:t>that May Yet be</w:t>
            </w:r>
          </w:p>
          <w:p>
            <w:pPr>
              <w:pStyle w:val="TableContents"/>
              <w:bidi w:val="0"/>
              <w:spacing w:before="0" w:after="0"/>
              <w:jc w:val="center"/>
              <w:rPr>
                <w:b/>
              </w:rPr>
            </w:pPr>
            <w:r>
              <w:rPr>
                <w:b/>
              </w:rPr>
              <w:t>Purchased Under the</w:t>
            </w:r>
          </w:p>
          <w:p>
            <w:pPr>
              <w:pStyle w:val="TableContents"/>
              <w:bidi w:val="0"/>
              <w:spacing w:before="0" w:after="0"/>
              <w:jc w:val="center"/>
              <w:rPr>
                <w:b/>
              </w:rPr>
            </w:pPr>
            <w:r>
              <w:rPr>
                <w:b/>
              </w:rPr>
              <w:t>Plans or Programs</w:t>
            </w:r>
          </w:p>
        </w:tc>
        <w:tc>
          <w:tcPr>
            <w:tcW w:w="124" w:type="dxa"/>
            <w:tcBorders/>
            <w:tcMar>
              <w:bottom w:w="0" w:type="dxa"/>
            </w:tcMar>
            <w:vAlign w:val="bottom"/>
          </w:tcPr>
          <w:p>
            <w:pPr>
              <w:pStyle w:val="TableContents"/>
              <w:bidi w:val="0"/>
              <w:spacing w:before="0" w:after="283"/>
              <w:jc w:val="left"/>
              <w:rPr/>
            </w:pPr>
            <w:r>
              <w:rPr/>
              <w:t> </w:t>
            </w:r>
          </w:p>
        </w:tc>
      </w:tr>
      <w:tr>
        <w:trPr/>
        <w:tc>
          <w:tcPr>
            <w:tcW w:w="3113" w:type="dxa"/>
            <w:tcBorders/>
            <w:shd w:fill="CCEEFF" w:val="clear"/>
            <w:tcMar>
              <w:bottom w:w="0" w:type="dxa"/>
            </w:tcMar>
            <w:vAlign w:val="bottom"/>
          </w:tcPr>
          <w:p>
            <w:pPr>
              <w:pStyle w:val="TableContents"/>
              <w:bidi w:val="0"/>
              <w:spacing w:before="0" w:after="0"/>
              <w:jc w:val="left"/>
              <w:rPr/>
            </w:pPr>
            <w:r>
              <w:rPr/>
              <w:t>October 1 – October 31,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473" w:type="dxa"/>
            <w:tcBorders/>
            <w:shd w:fill="CCEEFF" w:val="clear"/>
            <w:tcMar>
              <w:bottom w:w="0" w:type="dxa"/>
            </w:tcMar>
            <w:vAlign w:val="bottom"/>
          </w:tcPr>
          <w:p>
            <w:pPr>
              <w:pStyle w:val="TableContents"/>
              <w:bidi w:val="0"/>
              <w:spacing w:before="0" w:after="283"/>
              <w:jc w:val="left"/>
              <w:rPr/>
            </w:pPr>
            <w:r>
              <w:rPr/>
              <w:t> </w:t>
            </w:r>
          </w:p>
        </w:tc>
        <w:tc>
          <w:tcPr>
            <w:tcW w:w="657"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19" w:type="dxa"/>
            <w:tcBorders/>
            <w:shd w:fill="CCEEFF" w:val="clear"/>
            <w:tcMar>
              <w:bottom w:w="0" w:type="dxa"/>
            </w:tcMar>
            <w:vAlign w:val="bottom"/>
          </w:tcPr>
          <w:p>
            <w:pPr>
              <w:pStyle w:val="TableContents"/>
              <w:bidi w:val="0"/>
              <w:spacing w:before="0" w:after="0"/>
              <w:jc w:val="left"/>
              <w:rPr/>
            </w:pPr>
            <w:r>
              <w:rPr/>
              <w:t>$</w:t>
            </w:r>
          </w:p>
        </w:tc>
        <w:tc>
          <w:tcPr>
            <w:tcW w:w="455"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55" w:type="dxa"/>
            <w:tcBorders/>
            <w:shd w:fill="CCEEFF" w:val="clear"/>
            <w:tcMar>
              <w:bottom w:w="0" w:type="dxa"/>
            </w:tcMar>
            <w:vAlign w:val="bottom"/>
          </w:tcPr>
          <w:p>
            <w:pPr>
              <w:pStyle w:val="TableContents"/>
              <w:bidi w:val="0"/>
              <w:spacing w:before="0" w:after="283"/>
              <w:jc w:val="left"/>
              <w:rPr/>
            </w:pPr>
            <w:r>
              <w:rPr/>
              <w:t> </w:t>
            </w:r>
          </w:p>
        </w:tc>
        <w:tc>
          <w:tcPr>
            <w:tcW w:w="1192"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2" w:type="dxa"/>
            <w:tcBorders/>
            <w:shd w:fill="CCEEFF" w:val="clear"/>
            <w:tcMar>
              <w:bottom w:w="0" w:type="dxa"/>
            </w:tcMar>
            <w:vAlign w:val="bottom"/>
          </w:tcPr>
          <w:p>
            <w:pPr>
              <w:pStyle w:val="TableContents"/>
              <w:bidi w:val="0"/>
              <w:spacing w:before="0" w:after="283"/>
              <w:jc w:val="left"/>
              <w:rPr/>
            </w:pPr>
            <w:r>
              <w:rPr/>
              <w:t> </w:t>
            </w:r>
          </w:p>
        </w:tc>
        <w:tc>
          <w:tcPr>
            <w:tcW w:w="1885" w:type="dxa"/>
            <w:tcBorders/>
            <w:shd w:fill="CCEEFF" w:val="clear"/>
            <w:tcMar>
              <w:bottom w:w="0" w:type="dxa"/>
            </w:tcMar>
            <w:vAlign w:val="bottom"/>
          </w:tcPr>
          <w:p>
            <w:pPr>
              <w:pStyle w:val="TableContents"/>
              <w:bidi w:val="0"/>
              <w:spacing w:before="0" w:after="0"/>
              <w:jc w:val="right"/>
              <w:rPr/>
            </w:pPr>
            <w:r>
              <w:rPr/>
              <w:t>325,129</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3113" w:type="dxa"/>
            <w:tcBorders/>
            <w:tcMar>
              <w:bottom w:w="0" w:type="dxa"/>
            </w:tcMar>
            <w:vAlign w:val="bottom"/>
          </w:tcPr>
          <w:p>
            <w:pPr>
              <w:pStyle w:val="TableContents"/>
              <w:bidi w:val="0"/>
              <w:spacing w:before="0" w:after="0"/>
              <w:jc w:val="left"/>
              <w:rPr/>
            </w:pPr>
            <w:r>
              <w:rPr/>
              <w:t>November 1 – November 30, 2025</w:t>
            </w:r>
          </w:p>
        </w:tc>
        <w:tc>
          <w:tcPr>
            <w:tcW w:w="90" w:type="dxa"/>
            <w:tcBorders/>
            <w:tcMar>
              <w:bottom w:w="0" w:type="dxa"/>
            </w:tcMar>
            <w:vAlign w:val="bottom"/>
          </w:tcPr>
          <w:p>
            <w:pPr>
              <w:pStyle w:val="TableContents"/>
              <w:bidi w:val="0"/>
              <w:spacing w:before="0" w:after="283"/>
              <w:jc w:val="left"/>
              <w:rPr/>
            </w:pPr>
            <w:r>
              <w:rPr/>
              <w:t> </w:t>
            </w:r>
          </w:p>
        </w:tc>
        <w:tc>
          <w:tcPr>
            <w:tcW w:w="473" w:type="dxa"/>
            <w:tcBorders/>
            <w:tcMar>
              <w:bottom w:w="0" w:type="dxa"/>
            </w:tcMar>
            <w:vAlign w:val="bottom"/>
          </w:tcPr>
          <w:p>
            <w:pPr>
              <w:pStyle w:val="TableContents"/>
              <w:bidi w:val="0"/>
              <w:spacing w:before="0" w:after="283"/>
              <w:jc w:val="left"/>
              <w:rPr/>
            </w:pPr>
            <w:r>
              <w:rPr/>
              <w:t> </w:t>
            </w:r>
          </w:p>
        </w:tc>
        <w:tc>
          <w:tcPr>
            <w:tcW w:w="657" w:type="dxa"/>
            <w:tcBorders/>
            <w:tcMar>
              <w:bottom w:w="0" w:type="dxa"/>
            </w:tcMar>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19" w:type="dxa"/>
            <w:tcBorders/>
            <w:tcMar>
              <w:bottom w:w="0" w:type="dxa"/>
            </w:tcMar>
            <w:vAlign w:val="bottom"/>
          </w:tcPr>
          <w:p>
            <w:pPr>
              <w:pStyle w:val="TableContents"/>
              <w:bidi w:val="0"/>
              <w:spacing w:before="0" w:after="283"/>
              <w:jc w:val="left"/>
              <w:rPr/>
            </w:pPr>
            <w:r>
              <w:rPr/>
              <w:t> </w:t>
            </w:r>
          </w:p>
        </w:tc>
        <w:tc>
          <w:tcPr>
            <w:tcW w:w="455" w:type="dxa"/>
            <w:tcBorders/>
            <w:tcMar>
              <w:bottom w:w="0" w:type="dxa"/>
            </w:tcMar>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283"/>
              <w:jc w:val="left"/>
              <w:rPr/>
            </w:pPr>
            <w:r>
              <w:rPr/>
              <w:t> </w:t>
            </w:r>
          </w:p>
        </w:tc>
        <w:tc>
          <w:tcPr>
            <w:tcW w:w="1192" w:type="dxa"/>
            <w:tcBorders/>
            <w:tcMar>
              <w:bottom w:w="0" w:type="dxa"/>
            </w:tcMar>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2" w:type="dxa"/>
            <w:tcBorders/>
            <w:tcMar>
              <w:bottom w:w="0" w:type="dxa"/>
            </w:tcMar>
            <w:vAlign w:val="bottom"/>
          </w:tcPr>
          <w:p>
            <w:pPr>
              <w:pStyle w:val="TableContents"/>
              <w:bidi w:val="0"/>
              <w:spacing w:before="0" w:after="283"/>
              <w:jc w:val="left"/>
              <w:rPr/>
            </w:pPr>
            <w:r>
              <w:rPr/>
              <w:t> </w:t>
            </w:r>
          </w:p>
        </w:tc>
        <w:tc>
          <w:tcPr>
            <w:tcW w:w="1885" w:type="dxa"/>
            <w:tcBorders/>
            <w:tcMar>
              <w:bottom w:w="0" w:type="dxa"/>
            </w:tcMar>
            <w:vAlign w:val="bottom"/>
          </w:tcPr>
          <w:p>
            <w:pPr>
              <w:pStyle w:val="TableContents"/>
              <w:bidi w:val="0"/>
              <w:spacing w:before="0" w:after="0"/>
              <w:jc w:val="right"/>
              <w:rPr/>
            </w:pPr>
            <w:r>
              <w:rPr/>
              <w:t>325,129</w:t>
            </w:r>
          </w:p>
        </w:tc>
        <w:tc>
          <w:tcPr>
            <w:tcW w:w="124" w:type="dxa"/>
            <w:tcBorders/>
            <w:tcMar>
              <w:bottom w:w="0" w:type="dxa"/>
            </w:tcMar>
            <w:vAlign w:val="bottom"/>
          </w:tcPr>
          <w:p>
            <w:pPr>
              <w:pStyle w:val="TableContents"/>
              <w:bidi w:val="0"/>
              <w:spacing w:before="0" w:after="283"/>
              <w:jc w:val="left"/>
              <w:rPr/>
            </w:pPr>
            <w:r>
              <w:rPr/>
              <w:t> </w:t>
            </w:r>
          </w:p>
        </w:tc>
      </w:tr>
      <w:tr>
        <w:trPr/>
        <w:tc>
          <w:tcPr>
            <w:tcW w:w="3113" w:type="dxa"/>
            <w:tcBorders/>
            <w:shd w:fill="CCEEFF" w:val="clear"/>
            <w:tcMar>
              <w:bottom w:w="0" w:type="dxa"/>
            </w:tcMar>
            <w:vAlign w:val="bottom"/>
          </w:tcPr>
          <w:p>
            <w:pPr>
              <w:pStyle w:val="TableContents"/>
              <w:bidi w:val="0"/>
              <w:spacing w:before="0" w:after="0"/>
              <w:jc w:val="left"/>
              <w:rPr/>
            </w:pPr>
            <w:r>
              <w:rPr/>
              <w:t>December 1 – December 31,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vAlign w:val="bottom"/>
          </w:tcPr>
          <w:p>
            <w:pPr>
              <w:pStyle w:val="TableContents"/>
              <w:bidi w:val="0"/>
              <w:spacing w:before="0" w:after="283"/>
              <w:jc w:val="left"/>
              <w:rPr/>
            </w:pPr>
            <w:r>
              <w:rPr/>
              <w:t> </w:t>
            </w:r>
          </w:p>
        </w:tc>
        <w:tc>
          <w:tcPr>
            <w:tcW w:w="657"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19" w:type="dxa"/>
            <w:tcBorders>
              <w:bottom w:val="single" w:sz="12" w:space="0" w:color="000000"/>
            </w:tcBorders>
            <w:shd w:fill="CCEEFF" w:val="clear"/>
            <w:vAlign w:val="bottom"/>
          </w:tcPr>
          <w:p>
            <w:pPr>
              <w:pStyle w:val="TableContents"/>
              <w:bidi w:val="0"/>
              <w:spacing w:before="0" w:after="283"/>
              <w:jc w:val="left"/>
              <w:rPr/>
            </w:pPr>
            <w:r>
              <w:rPr/>
              <w:t> </w:t>
            </w:r>
          </w:p>
        </w:tc>
        <w:tc>
          <w:tcPr>
            <w:tcW w:w="455"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vAlign w:val="bottom"/>
          </w:tcPr>
          <w:p>
            <w:pPr>
              <w:pStyle w:val="TableContents"/>
              <w:bidi w:val="0"/>
              <w:spacing w:before="0" w:after="283"/>
              <w:jc w:val="left"/>
              <w:rPr/>
            </w:pPr>
            <w:r>
              <w:rPr/>
              <w:t> </w:t>
            </w:r>
          </w:p>
        </w:tc>
        <w:tc>
          <w:tcPr>
            <w:tcW w:w="1192"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2" w:type="dxa"/>
            <w:tcBorders/>
            <w:shd w:fill="CCEEFF" w:val="clear"/>
            <w:tcMar>
              <w:bottom w:w="0" w:type="dxa"/>
            </w:tcMar>
            <w:vAlign w:val="bottom"/>
          </w:tcPr>
          <w:p>
            <w:pPr>
              <w:pStyle w:val="TableContents"/>
              <w:bidi w:val="0"/>
              <w:spacing w:before="0" w:after="283"/>
              <w:jc w:val="left"/>
              <w:rPr/>
            </w:pPr>
            <w:r>
              <w:rPr/>
              <w:t> </w:t>
            </w:r>
          </w:p>
        </w:tc>
        <w:tc>
          <w:tcPr>
            <w:tcW w:w="1885" w:type="dxa"/>
            <w:tcBorders/>
            <w:shd w:fill="CCEEFF" w:val="clear"/>
            <w:tcMar>
              <w:bottom w:w="0" w:type="dxa"/>
            </w:tcMar>
            <w:vAlign w:val="bottom"/>
          </w:tcPr>
          <w:p>
            <w:pPr>
              <w:pStyle w:val="TableContents"/>
              <w:bidi w:val="0"/>
              <w:spacing w:before="0" w:after="0"/>
              <w:jc w:val="right"/>
              <w:rPr/>
            </w:pPr>
            <w:r>
              <w:rPr/>
              <w:t>325,129</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3113" w:type="dxa"/>
            <w:tcBorders/>
            <w:tcMar>
              <w:bottom w:w="0" w:type="dxa"/>
            </w:tcMar>
            <w:vAlign w:val="bottom"/>
          </w:tcPr>
          <w:p>
            <w:pPr>
              <w:pStyle w:val="TableContents"/>
              <w:bidi w:val="0"/>
              <w:spacing w:before="0" w:after="0"/>
              <w:jc w:val="left"/>
              <w:rPr>
                <w:b/>
              </w:rPr>
            </w:pPr>
            <w:r>
              <w:rPr>
                <w:b/>
              </w:rPr>
              <w:t>Total</w:t>
            </w:r>
          </w:p>
        </w:tc>
        <w:tc>
          <w:tcPr>
            <w:tcW w:w="90" w:type="dxa"/>
            <w:tcBorders/>
            <w:tcMar>
              <w:bottom w:w="0" w:type="dxa"/>
            </w:tcMar>
            <w:vAlign w:val="bottom"/>
          </w:tcPr>
          <w:p>
            <w:pPr>
              <w:pStyle w:val="TableContents"/>
              <w:bidi w:val="0"/>
              <w:spacing w:before="0" w:after="283"/>
              <w:jc w:val="left"/>
              <w:rPr/>
            </w:pPr>
            <w:r>
              <w:rPr/>
              <w:t> </w:t>
            </w:r>
          </w:p>
        </w:tc>
        <w:tc>
          <w:tcPr>
            <w:tcW w:w="473" w:type="dxa"/>
            <w:tcBorders>
              <w:bottom w:val="double" w:sz="8" w:space="0" w:color="000000"/>
            </w:tcBorders>
            <w:vAlign w:val="bottom"/>
          </w:tcPr>
          <w:p>
            <w:pPr>
              <w:pStyle w:val="TableContents"/>
              <w:bidi w:val="0"/>
              <w:spacing w:before="0" w:after="283"/>
              <w:jc w:val="left"/>
              <w:rPr/>
            </w:pPr>
            <w:r>
              <w:rPr/>
              <w:t> </w:t>
            </w:r>
          </w:p>
        </w:tc>
        <w:tc>
          <w:tcPr>
            <w:tcW w:w="657" w:type="dxa"/>
            <w:tcBorders>
              <w:bottom w:val="double" w:sz="8"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19" w:type="dxa"/>
            <w:tcBorders>
              <w:bottom w:val="double" w:sz="8" w:space="0" w:color="000000"/>
            </w:tcBorders>
            <w:vAlign w:val="bottom"/>
          </w:tcPr>
          <w:p>
            <w:pPr>
              <w:pStyle w:val="TableContents"/>
              <w:bidi w:val="0"/>
              <w:spacing w:before="0" w:after="0"/>
              <w:jc w:val="left"/>
              <w:rPr/>
            </w:pPr>
            <w:r>
              <w:rPr/>
              <w:t>$</w:t>
            </w:r>
          </w:p>
        </w:tc>
        <w:tc>
          <w:tcPr>
            <w:tcW w:w="455" w:type="dxa"/>
            <w:tcBorders>
              <w:bottom w:val="double" w:sz="8"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55" w:type="dxa"/>
            <w:tcBorders>
              <w:bottom w:val="double" w:sz="8" w:space="0" w:color="000000"/>
            </w:tcBorders>
            <w:vAlign w:val="bottom"/>
          </w:tcPr>
          <w:p>
            <w:pPr>
              <w:pStyle w:val="TableContents"/>
              <w:bidi w:val="0"/>
              <w:spacing w:before="0" w:after="283"/>
              <w:jc w:val="left"/>
              <w:rPr/>
            </w:pPr>
            <w:r>
              <w:rPr/>
              <w:t> </w:t>
            </w:r>
          </w:p>
        </w:tc>
        <w:tc>
          <w:tcPr>
            <w:tcW w:w="1192" w:type="dxa"/>
            <w:tcBorders>
              <w:bottom w:val="double" w:sz="8"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2" w:type="dxa"/>
            <w:tcBorders/>
            <w:tcMar>
              <w:bottom w:w="0" w:type="dxa"/>
            </w:tcMar>
            <w:vAlign w:val="bottom"/>
          </w:tcPr>
          <w:p>
            <w:pPr>
              <w:pStyle w:val="TableContents"/>
              <w:bidi w:val="0"/>
              <w:spacing w:before="0" w:after="283"/>
              <w:jc w:val="left"/>
              <w:rPr/>
            </w:pPr>
            <w:r>
              <w:rPr/>
              <w:t> </w:t>
            </w:r>
          </w:p>
        </w:tc>
        <w:tc>
          <w:tcPr>
            <w:tcW w:w="1885" w:type="dxa"/>
            <w:tcBorders/>
            <w:tcMar>
              <w:bottom w:w="0" w:type="dxa"/>
            </w:tcMar>
            <w:vAlign w:val="bottom"/>
          </w:tcPr>
          <w:p>
            <w:pPr>
              <w:pStyle w:val="TableContents"/>
              <w:bidi w:val="0"/>
              <w:spacing w:before="0" w:after="283"/>
              <w:jc w:val="right"/>
              <w:rPr/>
            </w:pPr>
            <w:r>
              <w:rPr/>
              <w:t> </w:t>
            </w:r>
          </w:p>
        </w:tc>
        <w:tc>
          <w:tcPr>
            <w:tcW w:w="124"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Stock Performance Graph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a smaller reporting company, we have elected to comply with certain scaled disclosure reporting obligations, and therefore are not providing the information required by this Item.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fc0cd55cfd6746e29c33b197f2ae2e2e"/>
      <w:bookmarkStart w:id="100" w:name="Reserved"/>
      <w:bookmarkStart w:id="101" w:name="zfc0cd55cfd6746e29c33b197f2ae2e2e"/>
      <w:bookmarkStart w:id="102" w:name="Reserved"/>
      <w:bookmarkEnd w:id="101"/>
      <w:bookmarkEnd w:id="102"/>
    </w:p>
    <w:tbl>
      <w:tblPr>
        <w:tblW w:w="1810" w:type="dxa"/>
        <w:jc w:val="left"/>
        <w:tblInd w:w="0" w:type="dxa"/>
        <w:tblLayout w:type="fixed"/>
        <w:tblCellMar>
          <w:top w:w="0" w:type="dxa"/>
          <w:left w:w="0" w:type="dxa"/>
          <w:bottom w:w="0" w:type="dxa"/>
          <w:right w:w="0" w:type="dxa"/>
        </w:tblCellMar>
      </w:tblPr>
      <w:tblGrid>
        <w:gridCol w:w="770"/>
        <w:gridCol w:w="1040"/>
      </w:tblGrid>
      <w:tr>
        <w:trPr/>
        <w:tc>
          <w:tcPr>
            <w:tcW w:w="770" w:type="dxa"/>
            <w:tcBorders/>
            <w:vAlign w:val="center"/>
          </w:tcPr>
          <w:p>
            <w:pPr>
              <w:pStyle w:val="TableContents"/>
              <w:bidi w:val="0"/>
              <w:spacing w:before="0" w:after="283"/>
              <w:jc w:val="left"/>
              <w:rPr>
                <w:b/>
              </w:rPr>
            </w:pPr>
            <w:r>
              <w:rPr>
                <w:b/>
              </w:rPr>
              <w:t>Item 6.</w:t>
            </w:r>
          </w:p>
        </w:tc>
        <w:tc>
          <w:tcPr>
            <w:tcW w:w="1040"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825ffc9a00604e8fa5039ec2fbb0852f"/>
      <w:bookmarkStart w:id="104" w:name="ManagementsDiscussionandA"/>
      <w:bookmarkStart w:id="105" w:name="z825ffc9a00604e8fa5039ec2fbb0852f"/>
      <w:bookmarkStart w:id="106" w:name="ManagementsDiscussionandA"/>
      <w:bookmarkEnd w:id="105"/>
      <w:bookmarkEnd w:id="106"/>
    </w:p>
    <w:tbl>
      <w:tblPr>
        <w:tblW w:w="9880" w:type="dxa"/>
        <w:jc w:val="left"/>
        <w:tblInd w:w="0" w:type="dxa"/>
        <w:tblLayout w:type="fixed"/>
        <w:tblCellMar>
          <w:top w:w="0" w:type="dxa"/>
          <w:left w:w="0" w:type="dxa"/>
          <w:bottom w:w="0" w:type="dxa"/>
          <w:right w:w="0" w:type="dxa"/>
        </w:tblCellMar>
      </w:tblPr>
      <w:tblGrid>
        <w:gridCol w:w="770"/>
        <w:gridCol w:w="9110"/>
      </w:tblGrid>
      <w:tr>
        <w:trPr/>
        <w:tc>
          <w:tcPr>
            <w:tcW w:w="770" w:type="dxa"/>
            <w:tcBorders/>
            <w:vAlign w:val="center"/>
          </w:tcPr>
          <w:p>
            <w:pPr>
              <w:pStyle w:val="TableContents"/>
              <w:bidi w:val="0"/>
              <w:spacing w:before="0" w:after="283"/>
              <w:jc w:val="left"/>
              <w:rPr>
                <w:b/>
              </w:rPr>
            </w:pPr>
            <w:r>
              <w:rPr>
                <w:b/>
              </w:rPr>
              <w:t>Item 7.</w:t>
            </w:r>
          </w:p>
        </w:tc>
        <w:tc>
          <w:tcPr>
            <w:tcW w:w="911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is management’s discussion and analysis of the financial condition and results of operations of Atlantic American Corporation (“Atlantic American” or the “Parent”) and its subsidiaries (collectively with the Parent, the “Company”) for the years ended December 31, 2025 and 2024. This discussion should be read in conjunction with the consolidated financial statements and notes thereto included elsewhere herein. Operating results achieved in any historical period are not necessarily indicative of results to be expected in any future period.</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American is an insurance holding company whose operations are conducted primarily through its insurance subsidiaries: American Southern Insurance Company and American Safety Insurance Company (together known as “American Southern”) in the property and casualty insurance industry, and Bankers Fidelity Life Insurance Company, Bankers Fidelity Assurance Company and Atlantic Capital Life Assurance Company (together known as “Bankers Fidelity”) in the life and health insurance industry. Each operating company is managed separately, offers different products and is evaluated on its individual performance.</w:t>
      </w:r>
    </w:p>
    <w:p>
      <w:pPr>
        <w:pStyle w:val="TextBody"/>
        <w:bidi w:val="0"/>
        <w:spacing w:before="0" w:after="0"/>
        <w:jc w:val="left"/>
        <w:rPr/>
      </w:pPr>
      <w:r>
        <w:rPr/>
        <w:t> </w:t>
      </w:r>
    </w:p>
    <w:p>
      <w:pPr>
        <w:pStyle w:val="TextBody"/>
        <w:bidi w:val="0"/>
        <w:spacing w:before="0" w:after="0"/>
        <w:ind w:left="0" w:right="0" w:hanging="0"/>
        <w:jc w:val="left"/>
        <w:rPr/>
      </w:pPr>
      <w:r>
        <w:rPr/>
        <w:t> </w:t>
      </w:r>
      <w:r>
        <w:rPr>
          <w:rFonts w:ascii="Times New Roman" w:hAnsi="Times New Roman"/>
          <w:b/>
          <w:sz w:val="20"/>
        </w:rPr>
        <w:t>Revision of Previously Issued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connection with the preparation of the Company’s consolidated financial statements for the year ended December 31, 2025, management identified errors relating to the recognition of due-premium receivables and related premium revenue within the Company’s group whole life and group accident and health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Management evaluated the errors in accordance with ASC Topic 250, </w:t>
      </w:r>
      <w:r>
        <w:rPr>
          <w:rFonts w:ascii="Times New Roman" w:hAnsi="Times New Roman"/>
          <w:i/>
          <w:sz w:val="20"/>
        </w:rPr>
        <w:t>Accounting Changes and Error Corrections</w:t>
      </w:r>
      <w:r>
        <w:rPr>
          <w:rFonts w:ascii="Times New Roman" w:hAnsi="Times New Roman"/>
          <w:sz w:val="20"/>
        </w:rPr>
        <w:t>, and SEC Staff Accounting Bulletins No. 99, M</w:t>
      </w:r>
      <w:r>
        <w:rPr>
          <w:rFonts w:ascii="Times New Roman" w:hAnsi="Times New Roman"/>
          <w:i/>
          <w:sz w:val="20"/>
        </w:rPr>
        <w:t>ateriality</w:t>
      </w:r>
      <w:r>
        <w:rPr>
          <w:rFonts w:ascii="Times New Roman" w:hAnsi="Times New Roman"/>
          <w:sz w:val="20"/>
        </w:rPr>
        <w:t xml:space="preserve">, and No. 108, </w:t>
      </w:r>
      <w:r>
        <w:rPr>
          <w:rFonts w:ascii="Times New Roman" w:hAnsi="Times New Roman"/>
          <w:i/>
          <w:sz w:val="20"/>
        </w:rPr>
        <w:t>Considering the Effects of Prior Year Misstatements When Quantifying Misstatements in Current Year Financial Statements</w:t>
      </w:r>
      <w:r>
        <w:rPr>
          <w:rFonts w:ascii="Times New Roman" w:hAnsi="Times New Roman"/>
          <w:sz w:val="20"/>
        </w:rPr>
        <w:t>. Management considered the errors under both the rollover and iron-curtain methods and evaluated relevant quantitative and qualitative factors, both individually and in the aggregate with other identified misstatements.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this evaluation, management concluded that the errors were not material, individually or in the aggregate, to any of the Company’s previously issued annual or interim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Management further concluded that correcting the cumulative errors entirely in the consolidated statement of operations for the year ended December 31, 2025 would materially misstate the Company’s 2025 results of operations. Accordingly, the Company has revised the 2024 financial information presented in this Annual Report on Form 10-K to reflect the correction of the errors in the appropriate prior periods.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revisions did not change management’s conclusion that the Company’s previously issued annual or interim financial statements were fairly presented, in all material respects, in accordance with accounting principles generally accepted in the United States. The Company has not amended its previously filed Annual Report on Form 10-K for the year ended December 31, 2024. All 2024 amounts presented in this Management’s Discussion and Analysis of Financial Condition and Results of Operations reflect the revised amounts unless otherwise indicated.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Nature of the Errors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Management identified deficiencies in the design and operating effectiveness of controls over the recording and reconciliation of premium receivables and the application of premium payments held in suspense within the Company’s group whole life and group accident and health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did not design and maintain effective controls to timely and accurately reconcile enrollment, billing and cash receipt information at the individual policyholder level and to resolve differences among third-party enrollment data, the policy administration system and the general ledger.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a result, the Company did not maintain controls operating at a sufficient level of precision to determine whether recorded premium receivables were valid, whether amounts held in suspense should be applied to individual policyholders or otherwise recognized, and whether the related amounts were recorded in the appropriate period and were appropriately classified in the consolidated financial statements. As a result, the Company has revised its previously reported 2024 financial information to remove the affected receivables and premium revenue.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Effect of the Corrections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revisions to the Company’s consolidated financial statements as of and for the year ended December 31, 2024 principally resulted in:</w:t>
      </w:r>
    </w:p>
    <w:p>
      <w:pPr>
        <w:pStyle w:val="TextBody"/>
        <w:bidi w:val="0"/>
        <w:spacing w:before="0" w:after="0"/>
        <w:ind w:left="0" w:right="0" w:hanging="0"/>
        <w:jc w:val="both"/>
        <w:rPr/>
      </w:pPr>
      <w:r>
        <w:rPr/>
        <w:t> </w:t>
      </w:r>
    </w:p>
    <w:p>
      <w:pPr>
        <w:pStyle w:val="TextBody"/>
        <w:bidi w:val="0"/>
        <w:spacing w:before="0" w:after="0"/>
        <w:ind w:left="720" w:right="0" w:hanging="360"/>
        <w:jc w:val="both"/>
        <w:rPr/>
      </w:pPr>
      <w:r>
        <w:rPr/>
        <w:t xml:space="preserve">● </w:t>
      </w:r>
      <w:r>
        <w:rPr>
          <w:rFonts w:ascii="Times New Roman" w:hAnsi="Times New Roman"/>
          <w:sz w:val="20"/>
        </w:rPr>
        <w:t>a $5.580 million reduction in insurance premiums and other receivables;</w:t>
      </w:r>
    </w:p>
    <w:p>
      <w:pPr>
        <w:pStyle w:val="TextBody"/>
        <w:bidi w:val="0"/>
        <w:spacing w:before="0" w:after="0"/>
        <w:ind w:left="720" w:right="0" w:hanging="360"/>
        <w:jc w:val="both"/>
        <w:rPr/>
      </w:pPr>
      <w:r>
        <w:rPr/>
        <w:t xml:space="preserve">● </w:t>
      </w:r>
      <w:r>
        <w:rPr>
          <w:rFonts w:ascii="Times New Roman" w:hAnsi="Times New Roman"/>
          <w:sz w:val="20"/>
        </w:rPr>
        <w:t>a $1.172 million increase in deferred income taxes, net;</w:t>
      </w:r>
    </w:p>
    <w:p>
      <w:pPr>
        <w:pStyle w:val="TextBody"/>
        <w:bidi w:val="0"/>
        <w:spacing w:before="0" w:after="0"/>
        <w:ind w:left="720" w:right="0" w:hanging="360"/>
        <w:jc w:val="both"/>
        <w:rPr/>
      </w:pPr>
      <w:r>
        <w:rPr/>
        <w:t xml:space="preserve">● </w:t>
      </w:r>
      <w:r>
        <w:rPr>
          <w:rFonts w:ascii="Times New Roman" w:hAnsi="Times New Roman"/>
          <w:sz w:val="20"/>
        </w:rPr>
        <w:t>a $2.923 million reduction in accounts payable and accrued expenses;</w:t>
      </w:r>
    </w:p>
    <w:p>
      <w:pPr>
        <w:pStyle w:val="TextBody"/>
        <w:bidi w:val="0"/>
        <w:spacing w:before="0" w:after="0"/>
        <w:ind w:left="720" w:right="0" w:hanging="360"/>
        <w:jc w:val="both"/>
        <w:rPr/>
      </w:pPr>
      <w:r>
        <w:rPr/>
        <w:t xml:space="preserve">● </w:t>
      </w:r>
      <w:r>
        <w:rPr>
          <w:rFonts w:ascii="Times New Roman" w:hAnsi="Times New Roman"/>
          <w:sz w:val="20"/>
        </w:rPr>
        <w:t>a $1.485 million reduction in retained earnings;</w:t>
      </w:r>
    </w:p>
    <w:p>
      <w:pPr>
        <w:pStyle w:val="TextBody"/>
        <w:bidi w:val="0"/>
        <w:spacing w:before="0" w:after="0"/>
        <w:ind w:left="720" w:right="0" w:hanging="360"/>
        <w:jc w:val="both"/>
        <w:rPr/>
      </w:pPr>
      <w:r>
        <w:rPr/>
        <w:t xml:space="preserve">● </w:t>
      </w:r>
      <w:r>
        <w:rPr>
          <w:rFonts w:ascii="Times New Roman" w:hAnsi="Times New Roman"/>
          <w:sz w:val="20"/>
        </w:rPr>
        <w:t xml:space="preserve">a $0.351 million reduction in 2024 insurance premiums, net and income (loss) before income taxes; and </w:t>
      </w:r>
    </w:p>
    <w:p>
      <w:pPr>
        <w:pStyle w:val="TextBody"/>
        <w:bidi w:val="0"/>
        <w:spacing w:before="0" w:after="0"/>
        <w:ind w:left="720" w:right="0" w:hanging="360"/>
        <w:jc w:val="both"/>
        <w:rPr/>
      </w:pPr>
      <w:r>
        <w:rPr/>
        <w:t xml:space="preserve">● </w:t>
      </w:r>
      <w:r>
        <w:rPr>
          <w:rFonts w:ascii="Times New Roman" w:hAnsi="Times New Roman"/>
          <w:sz w:val="20"/>
        </w:rPr>
        <w:t>a $0.277 million increase in 2024 net loss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revisions did not affect the Company’s cash and cash equivalents or total net cash provided by operating activities for the year ended December 31, 2024. The revisions affected certain components of the reconciliation of net income to net cash provided by operating activities but did not affect total net cash provided by operating activities.</w:t>
      </w:r>
    </w:p>
    <w:p>
      <w:pPr>
        <w:pStyle w:val="TextBody"/>
        <w:bidi w:val="0"/>
        <w:spacing w:before="0" w:after="0"/>
        <w:ind w:left="0" w:right="0" w:hanging="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foregoing summary is not intended to present all effects of the revisions. See Note 1, Revision of Previously Issued Financial Statements, to the consolidated financial statements for a reconciliation of the amounts previously reported to the amounts as revised.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Adoption of LDTI</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amounts as of and for the year ended December 31, 2024 within this Form 10-K have been restated to conform with the current year accounting and presentation as a result of the Company’s required adoption of Accounting Standards Update No. 2018-12, Financial Services—Insurance (Topic 944)—</w:t>
      </w:r>
      <w:r>
        <w:rPr>
          <w:rFonts w:ascii="Times New Roman" w:hAnsi="Times New Roman"/>
          <w:i/>
          <w:sz w:val="20"/>
        </w:rPr>
        <w:t>Targeted Improvements to the Accounting for Long Duration Contracts</w:t>
      </w:r>
      <w:r>
        <w:rPr>
          <w:rFonts w:ascii="Times New Roman" w:hAnsi="Times New Roman"/>
          <w:sz w:val="20"/>
        </w:rPr>
        <w:t>. Refer to Note 1 of Notes to Consolidated Financial Statements for more information regarding the Company’s adoption of LDTI and the related impact to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Critical Accounting Estimates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accounting and reporting policies of the Company are in accordance with accounting principles generally accepted in the United States of America (“GAAP”) and, in management’s belief, conform to general practices within the insurance industry. The following is an explanation of the Company’s accounting policies and the resultant estimates considered most significant by management. These accounting policies inherently require significant judgment and assumptions and actual operating results could differ significantly from management’s estimates determined using these policies. Atlantic American does not expect that changes in the estimates determined using these policies will have a material effect on the Company’s financial condition or liquidity, although changes could have a material effect on its consolidated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Investments</w:t>
      </w:r>
      <w:r>
        <w:rPr>
          <w:rFonts w:ascii="Times New Roman" w:hAnsi="Times New Roman"/>
          <w:sz w:val="20"/>
        </w:rPr>
        <w:t xml:space="preserve"> comprised 62% of the Company’s total assets at December 31, 2025. Substantially all of the Company’s investments are in bonds and common and preferred stocks, the values of which are subject to market fluctuations, which could be significant. The Company carries all fixed maturity securities, which includes bonds and redeemable preferred stocks, as available for sale, and equity securities, which includes common and non-redeemable preferred stocks, at their estimated fair values.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determines the fair values of certain financial instruments based on the fair value hierarchy established in Financial Accounting Standard Board (“FASB”) Accounting Standards Codification (“ASC”) 820-10-20, </w:t>
      </w:r>
      <w:r>
        <w:rPr>
          <w:rFonts w:ascii="Times New Roman" w:hAnsi="Times New Roman"/>
          <w:i/>
          <w:sz w:val="20"/>
        </w:rPr>
        <w:t>Fair Value Measurements and Disclosures</w:t>
      </w:r>
      <w:r>
        <w:rPr>
          <w:rFonts w:ascii="Times New Roman" w:hAnsi="Times New Roman"/>
          <w:sz w:val="20"/>
        </w:rPr>
        <w:t xml:space="preserve"> (“ASC 820-10-20”). The fair values of fixed maturity securities and equity securities are largely determined by nationally quoted market prices, when available, or independent broker quotations. See Note 2 and Note 3 of Notes to Consolidated Financial Statements with respect to assets and liabilities carried at fair value and information about the inputs used to value those financial instruments, by hierarchy level, in accordance with ASC 820-10-20.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fixed maturity available-for-sale securities in an unrealized loss position, a credit loss is recognized in earnings within realized investment gains (losses) when it is anticipated that the amortized cost will not be recovered. When either: (i) the Company has the intent to sell the security; or (ii) it is more likely than not that the Company will be required to sell the security before recovery, the reduction of amortized cost and the loss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 credit loss by establishing an Allowance for Credit Losses (“ACL”) with a corresponding charge to earnings in realized investment gains (losses). However, the ACL is limited by the amount that the fair value is less than the amortized cost. This limitation is known as the “fair value floor.” If the estimated fair value is less than the present value of projected future cash flows expected to be collected, this portion of the decline in value related to other-than-credit factors (“noncredit loss”) is recorded in OCI.</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Future policy benefits</w:t>
      </w:r>
      <w:r>
        <w:rPr>
          <w:rFonts w:ascii="Times New Roman" w:hAnsi="Times New Roman"/>
          <w:sz w:val="20"/>
        </w:rPr>
        <w:t xml:space="preserve"> represented approximately 27% of total liabilities at December 31, 2025, compared to 28% at December 31, 2024. The LFPB is established under ASC Topic 944 </w:t>
      </w:r>
      <w:r>
        <w:rPr>
          <w:rFonts w:ascii="Times New Roman" w:hAnsi="Times New Roman"/>
          <w:i/>
          <w:sz w:val="20"/>
        </w:rPr>
        <w:t>Financial Services-Insurance</w:t>
      </w:r>
      <w:r>
        <w:rPr>
          <w:rFonts w:ascii="Times New Roman" w:hAnsi="Times New Roman"/>
          <w:sz w:val="20"/>
        </w:rPr>
        <w:t xml:space="preserve"> for products classified as Long-Duration. The Company’s products that are so classified include Individual and group life insurance policies, Medicare Supplement policies, and other guaranteed renewable accident and health policies.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January 1, 2025, the Company adopted Accounting Standards Update (“ASU”) No. 2018-12, </w:t>
      </w:r>
      <w:r>
        <w:rPr>
          <w:rFonts w:ascii="Times New Roman" w:hAnsi="Times New Roman"/>
          <w:i/>
          <w:sz w:val="20"/>
        </w:rPr>
        <w:t>Financial Services—Insurance (Topic 944): Targeted Improvements to the Accounting for Long-Duration Contracts</w:t>
      </w:r>
      <w:r>
        <w:rPr>
          <w:rFonts w:ascii="Times New Roman" w:hAnsi="Times New Roman"/>
          <w:sz w:val="20"/>
        </w:rPr>
        <w:t>, as subsequently amended by ASU Nos. 2019-09, 2020-11 and 2022-05. The Company applied LDTI using the modified retrospective transition method as of January 1, 2024 (the “Transition Date”) to its whole life, Medicare Supplement and certain guaranteed-renewable accident and health insurance products.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LDTI, the LFPB reflects the present value of estimated future policyholder benefits and claim settlement expenses less the present value of estimated net policyholder premiums. These estimates are based on actuarial assumptions for mortality, voluntary policyholder terminations, and claims under accident and health policies. These assumptions are developed based on an evaluation of recent experience and the then-current legal, economic, and operating environment that is conducted at least annually. Changes in the LFPB that are attributable to changes in these assumptions are recognized in earnings. Historical experience is updated each quarter through retrospective unlocking to reflect actual cash flows, and changes in the LFPB that are caused by differences between actual and expected experience are also recognized in earnings.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LDTI, the discount rate assumption consists of a locked in rate and a current rate. The current rate is derived from a yield curve of upper medium grade fixed income securities obtained from Bloomberg, reflecting yields across maturities ranging from one month to fifty years and based on single A rated corporate securities. For policies issued after January 1, 2024 (“the Transition Date”), the locked in rate equals the current rate in effect during the quarter of issuance, while for policies issued prior to the Transition Date, the locked in rate represents the historical expected investment yield at policy issuance. The current discount rate is updated quarterly, with changes recognized in OCI.</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to the normal policy activity, the year-over-year change in the liability and related AOCI balances is driven by updates to actuarial assumptions, differences between actual and expected experience, and changes in discount rates, and remains sensitive to changes in these assumptions.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purposes of calculating the NPR and the LFPB, insurance contracts are grouped into cohorts that do not span more than one issue year. Medicare Supplement cohorts are determined by legal entity and issue year, life insurance cohorts are established separately for individual and group policies (with further distinction for limited</w:t>
        <w:noBreakHyphen/>
        <w:t>pay versus other individual life products), and other accident and health products are grouped by issue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NPR is the ratio of the present value of expected future benefits and related claim expenses to the present value of expected future gross premiums. The NPR used to accrue the LFPB in each period is determined by using the historical and present value of expected future benefits and claim settlement expenses for the cohort divided by the historical and present value of expected future gross premiums for the cohort. For contracts in force at the Transition Date, the NPR reflects the applicable carrying amount under the Company’s modified retrospective transition method. For contracts issued after the Transition Date, the NPR is established based on expected benefits, related expenses and gross premiums as of the applicable contract issue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each reporting date, actual experience is incorporated into the calculation, and the NPR is recalculated using actual experience and current assumptions about future cash flows. The NPR is capped at 100%. If the calculated NPR for a cohort exceeds 100%, the Company increases the LFPB by the amount necessary to reduce the NPR to 100% and recognizes the resulting loss immediately in earnings. The LFPB for an individual cohort may not be less than zero. Changes in discount rates do not affect the NPR and are recognized separately in OCI.</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i/>
          <w:sz w:val="20"/>
        </w:rPr>
        <w:t>The liability for unpaid claims and claim adjustment expenses</w:t>
      </w:r>
      <w:r>
        <w:rPr>
          <w:rFonts w:ascii="Times New Roman" w:hAnsi="Times New Roman"/>
          <w:sz w:val="20"/>
        </w:rPr>
        <w:t xml:space="preserve"> was $113.8 million at December 31, 2025, or approximately 36% of the Company’s total liabilities. The related reinsurance recoverable was $19.3 million, resulting in a net liability of $94.5 million. The liability is a critical accounting estimate because the ultimate amount and timing of claim payments cannot be known with certainty until claims are resolved. Relatively small changes in estimates of ultimate losses may materially affect the recorded liability and the benefits and losses recognized in the period of revision.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accrues liabilities for unpaid claims and claim adjustment expenses when insured events occur. The balance includes obligations under short-duration contracts, principally property and casualty insurance products and group accident and health products, and claims that have been incurred under long-duration products, principally individual life, group whole life, Medicare Supplement and certain guaranteed-renewable individual accident and health products. For long-duration contracts, expected future benefit payments are incorporated into the liability for future policy benefits before the related insured event occurs; amounts payable for insured events that have occurred are accrued as unpaid claims. The Company separately presents the liability for unpaid claims and the liability for future policy benefits in the Consolidated Balance Sheets. Insurance liabilities are recorded gross of reinsurance, and related reinsurance recoverables are reported separately. The use of reinsurance does not relieve the Company of its obligations to policyholders.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liability includes (i) case reserves for claims that have been reported but not fully paid, (ii) expected development on reported claims, (iii) incurred-but-not-reported claims, and (iv) allocated and unallocated claim adjustment expenses. Case reserves are established using claim adjusters’ evaluations and information available about individual claims. Estimates for future claim development, incurred-but-not-reported claims and claim adjustment expenses are developed using actuarial analyses of the Company’s historical experience and other relevant information.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Company’s actuaries estimate ultimate losses and claim adjustment expenses by significant product line and accident year using multiple methods, including paid-loss development, reported-loss development, paid Bornhuetter-Ferguson and reported Bornhuetter-Ferguson methods. The loss-development methods use historical paid or reported claim-development patterns to project ultimate losses. The Bornhuetter-Ferguson methods combine emerging claim experience with an independently selected expected loss ratio. No single method is determinative. The relative weight assigned to each method varies based on the credibility and maturity of the available data, the characteristics of the product line and current claim trends. Management selects its best estimate after evaluating the resulting range of actuarial estimates.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Significant assumptions and judgments include expected loss ratios; claim reporting, development and payment patterns; claim frequency and severity; medical cost inflation and utilization; general and social inflation; litigation and settlement trends; legislative and regulatory changes; large-loss activity; policy terms and benefit structures; changes in business and product mix; and changes in underwriting, claims administration and reserving practices. These factors can affect product lines and accident years differently, and changes in one factor may not be offset by changes in another.</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estimates are reviewed each reporting period using actual claim emergence, claim payments and current information. When experience differs from prior assumptions, or when changes in methods or assumptions are warranted, the estimated ultimate losses and claim adjustment expenses are revised. The effect of a revision is recognized in benefits and losses in the period in which the change in estimate is made. Significant changes in reserving methodologies and assumptions, if any, are described in the notes to the consolidated financial statements.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See Note 1, Summary of Significant Accounting Policies; Note 8, Other Insurance Reserves and Policyholder Funds; and Note 9, Reinsurance, in the Notes to Consolidated Financial Statements for additional information about the Company’s reserve policies, claims-development experience and reinsurance arrangements.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 xml:space="preserve">Deferred acquisition costs (“DAC”), </w:t>
      </w:r>
      <w:r>
        <w:rPr>
          <w:rFonts w:ascii="Times New Roman" w:hAnsi="Times New Roman"/>
          <w:sz w:val="20"/>
        </w:rPr>
        <w:t>which comprised approximately 10% of total assets at December 31, 2025, represent commissions, premium taxes and other incremental direct costs of successfully acquiring insurance contracts that would not have been incurred absent such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long-duration contracts is grouped on a basis consistent with the related insurance contracts and amortized on a constant-level basis over the expected term of those contracts. The expected remaining term is calculated based on assumptions of expected mortality, lapses, and other contract terminations that are consistent with the assumptions used to measure the related liability for future policy benefits.  These assumptions are reviewed at least annually and are updated as warranted whenever experience changes significantly. Actual contract terminations are reflected in the amortization calculation when they occur.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short-duration contracts is amortized over the related coverage period in proportion to premium revenue recognized. The Company evaluates the recoverability of short-duration DAC when indications exist that expected claims, claim adjustment expenses, maintenance costs and other related expenses may exceed anticipated premium revenue. If a premium deficiency exists, DAC is reduced to the extent necessary, and an additional liability is recognized for any remaining deficiency.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Deferred income taxes</w:t>
      </w:r>
      <w:r>
        <w:rPr>
          <w:rFonts w:ascii="Times New Roman" w:hAnsi="Times New Roman"/>
          <w:sz w:val="20"/>
        </w:rPr>
        <w:t xml:space="preserve"> reflect the effect of temporary differences between assets and liabilities that are recognized for financial reporting purposes and the amounts that are recognized for tax purposes. These deferred income taxes are measured by applying currently enacted tax laws and rates. Valuation allowances are recognized to reduce the deferred tax asset to the amount that is deemed more likely than not to be realized. In assessing the likelihood of realization, management considers estimates of future taxable income and tax planning strategies.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Refer to Note 1 of Notes to Consolidated Financial Statements for details regarding the Company’s significant accounting policies.</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Overall Corporate Results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7" w:name="zb3f523e82296421d91b04e6de9a07082"/>
      <w:bookmarkStart w:id="108" w:name="zb3f523e82296421d91b04e6de9a07082"/>
      <w:bookmarkEnd w:id="108"/>
    </w:p>
    <w:tbl>
      <w:tblPr>
        <w:tblW w:w="6418" w:type="dxa"/>
        <w:jc w:val="left"/>
        <w:tblInd w:w="0" w:type="dxa"/>
        <w:tblLayout w:type="fixed"/>
        <w:tblCellMar>
          <w:top w:w="0" w:type="dxa"/>
          <w:left w:w="0" w:type="dxa"/>
          <w:bottom w:w="0" w:type="dxa"/>
          <w:right w:w="0" w:type="dxa"/>
        </w:tblCellMar>
      </w:tblPr>
      <w:tblGrid>
        <w:gridCol w:w="3425"/>
        <w:gridCol w:w="90"/>
        <w:gridCol w:w="211"/>
        <w:gridCol w:w="1030"/>
        <w:gridCol w:w="155"/>
        <w:gridCol w:w="111"/>
        <w:gridCol w:w="211"/>
        <w:gridCol w:w="1030"/>
        <w:gridCol w:w="155"/>
      </w:tblGrid>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vAlign w:val="bottom"/>
          </w:tcPr>
          <w:p>
            <w:pPr>
              <w:pStyle w:val="TableContents"/>
              <w:bidi w:val="0"/>
              <w:spacing w:before="0" w:after="0"/>
              <w:jc w:val="center"/>
              <w:rPr>
                <w:b/>
              </w:rPr>
            </w:pPr>
            <w:r>
              <w:rPr>
                <w:b/>
              </w:rPr>
              <w:t>(In thousands)</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b/>
              </w:rPr>
            </w:pPr>
            <w:r>
              <w:rPr>
                <w:b/>
              </w:rPr>
              <w:t>Revenue</w:t>
            </w:r>
          </w:p>
        </w:tc>
        <w:tc>
          <w:tcPr>
            <w:tcW w:w="9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pPr>
            <w:r>
              <w:rPr/>
              <w:t>Property and Casualty:</w:t>
            </w:r>
          </w:p>
        </w:tc>
        <w:tc>
          <w:tcPr>
            <w:tcW w:w="9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60" w:right="0" w:hanging="180"/>
              <w:jc w:val="left"/>
              <w:rPr/>
            </w:pPr>
            <w:r>
              <w:rPr/>
              <w:t>American Southern</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pPr>
            <w:r>
              <w:rPr/>
              <w:t>$</w:t>
            </w:r>
          </w:p>
        </w:tc>
        <w:tc>
          <w:tcPr>
            <w:tcW w:w="1030" w:type="dxa"/>
            <w:tcBorders/>
            <w:shd w:fill="CCEEFF" w:val="clear"/>
            <w:vAlign w:val="bottom"/>
          </w:tcPr>
          <w:p>
            <w:pPr>
              <w:pStyle w:val="TableContents"/>
              <w:bidi w:val="0"/>
              <w:spacing w:before="0" w:after="0"/>
              <w:jc w:val="right"/>
              <w:rPr/>
            </w:pPr>
            <w:r>
              <w:rPr/>
              <w:t>88,478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pPr>
            <w:r>
              <w:rPr/>
              <w:t>$</w:t>
            </w:r>
          </w:p>
        </w:tc>
        <w:tc>
          <w:tcPr>
            <w:tcW w:w="1030" w:type="dxa"/>
            <w:tcBorders/>
            <w:shd w:fill="CCEEFF" w:val="clear"/>
            <w:vAlign w:val="bottom"/>
          </w:tcPr>
          <w:p>
            <w:pPr>
              <w:pStyle w:val="TableContents"/>
              <w:bidi w:val="0"/>
              <w:spacing w:before="0" w:after="0"/>
              <w:jc w:val="right"/>
              <w:rPr/>
            </w:pPr>
            <w:r>
              <w:rPr/>
              <w:t>72,220</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pPr>
            <w:r>
              <w:rPr/>
              <w:t>Life and Health:</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60" w:right="0" w:hanging="180"/>
              <w:jc w:val="left"/>
              <w:rPr/>
            </w:pPr>
            <w:r>
              <w:rPr/>
              <w:t>Bankers Fidelity</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pPr>
            <w:r>
              <w:rPr/>
              <w:t>121,701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pPr>
            <w:r>
              <w:rPr/>
              <w:t>115,953</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pPr>
            <w:r>
              <w:rPr/>
              <w:t>Corporate and Other</w:t>
            </w:r>
          </w:p>
        </w:tc>
        <w:tc>
          <w:tcPr>
            <w:tcW w:w="90"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tcMar>
              <w:bottom w:w="28" w:type="dxa"/>
            </w:tcMar>
            <w:vAlign w:val="bottom"/>
          </w:tcPr>
          <w:p>
            <w:pPr>
              <w:pStyle w:val="TableContents"/>
              <w:bidi w:val="0"/>
              <w:spacing w:before="0" w:after="0"/>
              <w:jc w:val="right"/>
              <w:rPr/>
            </w:pPr>
            <w:r>
              <w:rPr/>
              <w:t>261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tcMar>
              <w:bottom w:w="28" w:type="dxa"/>
            </w:tcMar>
            <w:vAlign w:val="bottom"/>
          </w:tcPr>
          <w:p>
            <w:pPr>
              <w:pStyle w:val="TableContents"/>
              <w:bidi w:val="0"/>
              <w:spacing w:before="0" w:after="0"/>
              <w:jc w:val="right"/>
              <w:rPr/>
            </w:pPr>
            <w:r>
              <w:rPr/>
              <w:t>(91</w:t>
            </w:r>
          </w:p>
        </w:tc>
        <w:tc>
          <w:tcPr>
            <w:tcW w:w="155" w:type="dxa"/>
            <w:tcBorders/>
            <w:vAlign w:val="bottom"/>
          </w:tcPr>
          <w:p>
            <w:pPr>
              <w:pStyle w:val="TableContents"/>
              <w:bidi w:val="0"/>
              <w:spacing w:before="0" w:after="0"/>
              <w:jc w:val="left"/>
              <w:rPr/>
            </w:pPr>
            <w:r>
              <w:rPr/>
              <w:t>)</w:t>
            </w:r>
          </w:p>
        </w:tc>
      </w:tr>
      <w:tr>
        <w:trPr/>
        <w:tc>
          <w:tcPr>
            <w:tcW w:w="3425" w:type="dxa"/>
            <w:tcBorders/>
            <w:shd w:fill="CCEEFF" w:val="clear"/>
            <w:vAlign w:val="bottom"/>
          </w:tcPr>
          <w:p>
            <w:pPr>
              <w:pStyle w:val="TableContents"/>
              <w:bidi w:val="0"/>
              <w:spacing w:before="0" w:after="0"/>
              <w:ind w:left="180" w:right="0" w:hanging="180"/>
              <w:jc w:val="left"/>
              <w:rPr/>
            </w:pPr>
            <w:r>
              <w:rPr/>
              <w:t>Total revenue</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210,440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188,082</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b/>
              </w:rPr>
            </w:pPr>
            <w:r>
              <w:rPr>
                <w:b/>
              </w:rPr>
              <w:t>Income (loss) before income taxes</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pPr>
            <w:r>
              <w:rPr/>
              <w:t>Property and Casualty:</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60" w:right="0" w:hanging="180"/>
              <w:jc w:val="left"/>
              <w:rPr/>
            </w:pPr>
            <w:r>
              <w:rPr/>
              <w:t>American Southern</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0"/>
              <w:jc w:val="left"/>
              <w:rPr/>
            </w:pPr>
            <w:r>
              <w:rPr/>
              <w:t>$</w:t>
            </w:r>
          </w:p>
        </w:tc>
        <w:tc>
          <w:tcPr>
            <w:tcW w:w="1030" w:type="dxa"/>
            <w:tcBorders/>
            <w:vAlign w:val="bottom"/>
          </w:tcPr>
          <w:p>
            <w:pPr>
              <w:pStyle w:val="TableContents"/>
              <w:bidi w:val="0"/>
              <w:spacing w:before="0" w:after="0"/>
              <w:jc w:val="right"/>
              <w:rPr/>
            </w:pPr>
            <w:r>
              <w:rPr/>
              <w:t>4,718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0"/>
              <w:jc w:val="left"/>
              <w:rPr/>
            </w:pPr>
            <w:r>
              <w:rPr/>
              <w:t>$</w:t>
            </w:r>
          </w:p>
        </w:tc>
        <w:tc>
          <w:tcPr>
            <w:tcW w:w="1030" w:type="dxa"/>
            <w:tcBorders/>
            <w:vAlign w:val="bottom"/>
          </w:tcPr>
          <w:p>
            <w:pPr>
              <w:pStyle w:val="TableContents"/>
              <w:bidi w:val="0"/>
              <w:spacing w:before="0" w:after="0"/>
              <w:jc w:val="right"/>
              <w:rPr/>
            </w:pPr>
            <w:r>
              <w:rPr/>
              <w:t>888</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pPr>
            <w:r>
              <w:rPr/>
              <w:t>Life and Health:</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60" w:right="0" w:hanging="180"/>
              <w:jc w:val="left"/>
              <w:rPr/>
            </w:pPr>
            <w:r>
              <w:rPr/>
              <w:t>Bankers Fidelity</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pPr>
            <w:r>
              <w:rPr/>
              <w:t>12,876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pPr>
            <w:r>
              <w:rPr/>
              <w:t>7,795</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pPr>
            <w:r>
              <w:rPr/>
              <w:t>Corporate and Other</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pPr>
            <w:r>
              <w:rPr/>
              <w:t>(9,873</w:t>
            </w:r>
          </w:p>
        </w:tc>
        <w:tc>
          <w:tcPr>
            <w:tcW w:w="155" w:type="dxa"/>
            <w:tcBorders/>
            <w:shd w:fill="CCEEFF" w:val="clear"/>
            <w:vAlign w:val="bottom"/>
          </w:tcPr>
          <w:p>
            <w:pPr>
              <w:pStyle w:val="TableContents"/>
              <w:bidi w:val="0"/>
              <w:spacing w:before="0" w:after="0"/>
              <w:jc w:val="left"/>
              <w:rPr/>
            </w:pPr>
            <w:r>
              <w:rPr/>
              <w:t>)</w:t>
            </w:r>
          </w:p>
        </w:tc>
        <w:tc>
          <w:tcPr>
            <w:tcW w:w="111"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pPr>
            <w:r>
              <w:rPr/>
              <w:t>(10,308</w:t>
            </w:r>
          </w:p>
        </w:tc>
        <w:tc>
          <w:tcPr>
            <w:tcW w:w="155" w:type="dxa"/>
            <w:tcBorders/>
            <w:shd w:fill="CCEEFF" w:val="clear"/>
            <w:vAlign w:val="bottom"/>
          </w:tcPr>
          <w:p>
            <w:pPr>
              <w:pStyle w:val="TableContents"/>
              <w:bidi w:val="0"/>
              <w:spacing w:before="0" w:after="0"/>
              <w:jc w:val="left"/>
              <w:rPr/>
            </w:pPr>
            <w:r>
              <w:rPr/>
              <w:t>)</w:t>
            </w:r>
          </w:p>
        </w:tc>
      </w:tr>
      <w:tr>
        <w:trPr/>
        <w:tc>
          <w:tcPr>
            <w:tcW w:w="3425" w:type="dxa"/>
            <w:tcBorders/>
            <w:vAlign w:val="bottom"/>
          </w:tcPr>
          <w:p>
            <w:pPr>
              <w:pStyle w:val="TableContents"/>
              <w:bidi w:val="0"/>
              <w:spacing w:before="0" w:after="0"/>
              <w:ind w:left="180" w:right="0" w:hanging="180"/>
              <w:jc w:val="left"/>
              <w:rPr>
                <w:b/>
              </w:rPr>
            </w:pPr>
            <w:r>
              <w:rPr>
                <w:b/>
              </w:rPr>
              <w:t>Income (loss) before income taxes</w:t>
            </w:r>
          </w:p>
        </w:tc>
        <w:tc>
          <w:tcPr>
            <w:tcW w:w="90"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1030" w:type="dxa"/>
            <w:tcBorders>
              <w:bottom w:val="double" w:sz="8" w:space="0" w:color="000000"/>
            </w:tcBorders>
            <w:tcMar>
              <w:bottom w:w="28" w:type="dxa"/>
            </w:tcMar>
            <w:vAlign w:val="bottom"/>
          </w:tcPr>
          <w:p>
            <w:pPr>
              <w:pStyle w:val="TableContents"/>
              <w:bidi w:val="0"/>
              <w:spacing w:before="0" w:after="0"/>
              <w:jc w:val="right"/>
              <w:rPr/>
            </w:pPr>
            <w:r>
              <w:rPr/>
              <w:t>7,721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1030" w:type="dxa"/>
            <w:tcBorders>
              <w:bottom w:val="double" w:sz="8" w:space="0" w:color="000000"/>
            </w:tcBorders>
            <w:tcMar>
              <w:bottom w:w="28" w:type="dxa"/>
            </w:tcMar>
            <w:vAlign w:val="bottom"/>
          </w:tcPr>
          <w:p>
            <w:pPr>
              <w:pStyle w:val="TableContents"/>
              <w:bidi w:val="0"/>
              <w:spacing w:before="0" w:after="0"/>
              <w:jc w:val="right"/>
              <w:rPr/>
            </w:pPr>
            <w:r>
              <w:rPr/>
              <w:t>(1,625</w:t>
            </w:r>
          </w:p>
        </w:tc>
        <w:tc>
          <w:tcPr>
            <w:tcW w:w="155" w:type="dxa"/>
            <w:tcBorders/>
            <w:vAlign w:val="bottom"/>
          </w:tcPr>
          <w:p>
            <w:pPr>
              <w:pStyle w:val="TableContents"/>
              <w:bidi w:val="0"/>
              <w:spacing w:before="0" w:after="0"/>
              <w:jc w:val="left"/>
              <w:rPr/>
            </w:pPr>
            <w:r>
              <w:rPr/>
              <w:t>)</w:t>
            </w:r>
          </w:p>
        </w:tc>
      </w:tr>
      <w:tr>
        <w:trPr/>
        <w:tc>
          <w:tcPr>
            <w:tcW w:w="3425" w:type="dxa"/>
            <w:tcBorders/>
            <w:shd w:fill="CCEEFF" w:val="clear"/>
            <w:vAlign w:val="bottom"/>
          </w:tcPr>
          <w:p>
            <w:pPr>
              <w:pStyle w:val="TableContents"/>
              <w:bidi w:val="0"/>
              <w:spacing w:before="0" w:after="0"/>
              <w:ind w:left="180" w:right="0" w:hanging="180"/>
              <w:jc w:val="left"/>
              <w:rPr>
                <w:b/>
              </w:rPr>
            </w:pPr>
            <w:r>
              <w:rPr>
                <w:b/>
              </w:rPr>
              <w:t>Net income (loss)</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6,017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(1,393</w:t>
            </w:r>
          </w:p>
        </w:tc>
        <w:tc>
          <w:tcPr>
            <w:tcW w:w="15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Management also considers and evaluates performance by analyzing the non-GAAP measure operating income or loss, and believes it is a useful metric for investors, potential investors, securities analysts and others because it isolates the “core” operating results of the Company before considering certain items that are either beyond the control of management (such as income tax expense, which is subject to timing, regulatory and rate changes depending on the timing of the associated revenues and expenses) or are not expected to regularly impact the Company’s operational results (such as any realized or unrealized investment gains or losses, which are not a part of the Company’s primary operations and are, to a limited extent, subject to discretion in terms of timing of realization).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reconciliation of net income (loss), the most directly comparable GAAP measure, to operating income (loss)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9" w:name="zf8096ae751ef4901bc662d48a0e1bc50"/>
      <w:bookmarkStart w:id="110" w:name="zf8096ae751ef4901bc662d48a0e1bc50"/>
      <w:bookmarkEnd w:id="110"/>
    </w:p>
    <w:tbl>
      <w:tblPr>
        <w:tblW w:w="7949" w:type="dxa"/>
        <w:jc w:val="left"/>
        <w:tblInd w:w="0" w:type="dxa"/>
        <w:tblLayout w:type="fixed"/>
        <w:tblCellMar>
          <w:top w:w="0" w:type="dxa"/>
          <w:left w:w="0" w:type="dxa"/>
          <w:bottom w:w="0" w:type="dxa"/>
          <w:right w:w="0" w:type="dxa"/>
        </w:tblCellMar>
      </w:tblPr>
      <w:tblGrid>
        <w:gridCol w:w="4955"/>
        <w:gridCol w:w="90"/>
        <w:gridCol w:w="248"/>
        <w:gridCol w:w="970"/>
        <w:gridCol w:w="182"/>
        <w:gridCol w:w="131"/>
        <w:gridCol w:w="248"/>
        <w:gridCol w:w="970"/>
        <w:gridCol w:w="155"/>
      </w:tblGrid>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9"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9" w:type="dxa"/>
            <w:gridSpan w:val="6"/>
            <w:tcBorders/>
            <w:vAlign w:val="bottom"/>
          </w:tcPr>
          <w:p>
            <w:pPr>
              <w:pStyle w:val="TableContents"/>
              <w:bidi w:val="0"/>
              <w:spacing w:before="0" w:after="0"/>
              <w:jc w:val="center"/>
              <w:rPr>
                <w:b/>
              </w:rPr>
            </w:pPr>
            <w:r>
              <w:rPr>
                <w:b/>
              </w:rPr>
              <w:t>(In thousands)</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0"/>
              <w:jc w:val="left"/>
              <w:rPr>
                <w:b/>
              </w:rPr>
            </w:pPr>
            <w:r>
              <w:rPr>
                <w:b/>
              </w:rPr>
              <w:t>Reconciliation of Non-GAAP Financial Measure</w:t>
            </w:r>
          </w:p>
        </w:tc>
        <w:tc>
          <w:tcPr>
            <w:tcW w:w="90"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4955" w:type="dxa"/>
            <w:tcBorders/>
            <w:shd w:fill="CCEEFF" w:val="clear"/>
            <w:vAlign w:val="bottom"/>
          </w:tcPr>
          <w:p>
            <w:pPr>
              <w:pStyle w:val="TableContents"/>
              <w:bidi w:val="0"/>
              <w:spacing w:before="0" w:after="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970" w:type="dxa"/>
            <w:tcBorders/>
            <w:shd w:fill="CCEEFF" w:val="clear"/>
            <w:vAlign w:val="bottom"/>
          </w:tcPr>
          <w:p>
            <w:pPr>
              <w:pStyle w:val="TableContents"/>
              <w:bidi w:val="0"/>
              <w:spacing w:before="0" w:after="0"/>
              <w:jc w:val="right"/>
              <w:rPr/>
            </w:pPr>
            <w:r>
              <w:rPr/>
              <w:t>6,017</w:t>
            </w:r>
          </w:p>
        </w:tc>
        <w:tc>
          <w:tcPr>
            <w:tcW w:w="1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970" w:type="dxa"/>
            <w:tcBorders/>
            <w:shd w:fill="CCEEFF" w:val="clear"/>
            <w:vAlign w:val="bottom"/>
          </w:tcPr>
          <w:p>
            <w:pPr>
              <w:pStyle w:val="TableContents"/>
              <w:bidi w:val="0"/>
              <w:spacing w:before="0" w:after="0"/>
              <w:jc w:val="right"/>
              <w:rPr/>
            </w:pPr>
            <w:r>
              <w:rPr/>
              <w:t>(1,393</w:t>
            </w:r>
          </w:p>
        </w:tc>
        <w:tc>
          <w:tcPr>
            <w:tcW w:w="155" w:type="dxa"/>
            <w:tcBorders/>
            <w:shd w:fill="CCEEFF" w:val="clear"/>
            <w:vAlign w:val="bottom"/>
          </w:tcPr>
          <w:p>
            <w:pPr>
              <w:pStyle w:val="TableContents"/>
              <w:bidi w:val="0"/>
              <w:spacing w:before="0" w:after="0"/>
              <w:jc w:val="left"/>
              <w:rPr/>
            </w:pPr>
            <w:r>
              <w:rPr/>
              <w:t>)</w:t>
            </w:r>
          </w:p>
        </w:tc>
      </w:tr>
      <w:tr>
        <w:trPr/>
        <w:tc>
          <w:tcPr>
            <w:tcW w:w="4955" w:type="dxa"/>
            <w:tcBorders/>
            <w:vAlign w:val="bottom"/>
          </w:tcPr>
          <w:p>
            <w:pPr>
              <w:pStyle w:val="TableContents"/>
              <w:bidi w:val="0"/>
              <w:spacing w:before="0" w:after="0"/>
              <w:jc w:val="left"/>
              <w:rPr/>
            </w:pPr>
            <w:r>
              <w:rPr/>
              <w:t>Income tax expense (benefit)</w:t>
            </w:r>
          </w:p>
        </w:tc>
        <w:tc>
          <w:tcPr>
            <w:tcW w:w="9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1,704</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(232</w:t>
            </w:r>
          </w:p>
        </w:tc>
        <w:tc>
          <w:tcPr>
            <w:tcW w:w="155" w:type="dxa"/>
            <w:tcBorders/>
            <w:vAlign w:val="bottom"/>
          </w:tcPr>
          <w:p>
            <w:pPr>
              <w:pStyle w:val="TableContents"/>
              <w:bidi w:val="0"/>
              <w:spacing w:before="0" w:after="0"/>
              <w:jc w:val="left"/>
              <w:rPr/>
            </w:pPr>
            <w:r>
              <w:rPr/>
              <w:t>)</w:t>
            </w:r>
          </w:p>
        </w:tc>
      </w:tr>
      <w:tr>
        <w:trPr/>
        <w:tc>
          <w:tcPr>
            <w:tcW w:w="4955" w:type="dxa"/>
            <w:tcBorders/>
            <w:shd w:fill="CCEEFF" w:val="clear"/>
            <w:vAlign w:val="bottom"/>
          </w:tcPr>
          <w:p>
            <w:pPr>
              <w:pStyle w:val="TableContents"/>
              <w:bidi w:val="0"/>
              <w:spacing w:before="0" w:after="0"/>
              <w:jc w:val="left"/>
              <w:rPr/>
            </w:pPr>
            <w:r>
              <w:rPr/>
              <w:t>Realized investment (gains) losses, net</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471</w:t>
            </w:r>
          </w:p>
        </w:tc>
        <w:tc>
          <w:tcPr>
            <w:tcW w:w="1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(1,210</w:t>
            </w:r>
          </w:p>
        </w:tc>
        <w:tc>
          <w:tcPr>
            <w:tcW w:w="155" w:type="dxa"/>
            <w:tcBorders/>
            <w:shd w:fill="CCEEFF" w:val="clear"/>
            <w:vAlign w:val="bottom"/>
          </w:tcPr>
          <w:p>
            <w:pPr>
              <w:pStyle w:val="TableContents"/>
              <w:bidi w:val="0"/>
              <w:spacing w:before="0" w:after="0"/>
              <w:jc w:val="left"/>
              <w:rPr/>
            </w:pPr>
            <w:r>
              <w:rPr/>
              <w:t>)</w:t>
            </w:r>
          </w:p>
        </w:tc>
      </w:tr>
      <w:tr>
        <w:trPr/>
        <w:tc>
          <w:tcPr>
            <w:tcW w:w="4955" w:type="dxa"/>
            <w:tcBorders/>
            <w:vAlign w:val="bottom"/>
          </w:tcPr>
          <w:p>
            <w:pPr>
              <w:pStyle w:val="TableContents"/>
              <w:bidi w:val="0"/>
              <w:spacing w:before="0" w:after="0"/>
              <w:jc w:val="left"/>
              <w:rPr/>
            </w:pPr>
            <w:r>
              <w:rPr/>
              <w:t>Unrealized (gains) losses on equity securities, net</w:t>
            </w:r>
          </w:p>
        </w:tc>
        <w:tc>
          <w:tcPr>
            <w:tcW w:w="90"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pPr>
            <w:r>
              <w:rPr/>
              <w:t>(4,491</w:t>
            </w:r>
          </w:p>
        </w:tc>
        <w:tc>
          <w:tcPr>
            <w:tcW w:w="182" w:type="dxa"/>
            <w:tcBorders/>
            <w:vAlign w:val="bottom"/>
          </w:tcPr>
          <w:p>
            <w:pPr>
              <w:pStyle w:val="TableContents"/>
              <w:bidi w:val="0"/>
              <w:spacing w:before="0" w:after="0"/>
              <w:jc w:val="left"/>
              <w:rPr/>
            </w:pPr>
            <w:r>
              <w:rPr/>
              <w:t>)</w:t>
            </w:r>
          </w:p>
        </w:tc>
        <w:tc>
          <w:tcPr>
            <w:tcW w:w="131"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pPr>
            <w:r>
              <w:rPr/>
              <w:t>1,516</w:t>
            </w:r>
          </w:p>
        </w:tc>
        <w:tc>
          <w:tcPr>
            <w:tcW w:w="155" w:type="dxa"/>
            <w:tcBorders/>
            <w:vAlign w:val="bottom"/>
          </w:tcPr>
          <w:p>
            <w:pPr>
              <w:pStyle w:val="TableContents"/>
              <w:bidi w:val="0"/>
              <w:spacing w:before="0" w:after="283"/>
              <w:jc w:val="left"/>
              <w:rPr/>
            </w:pPr>
            <w:r>
              <w:rPr/>
              <w:t> </w:t>
            </w:r>
          </w:p>
        </w:tc>
      </w:tr>
      <w:tr>
        <w:trPr/>
        <w:tc>
          <w:tcPr>
            <w:tcW w:w="4955" w:type="dxa"/>
            <w:tcBorders/>
            <w:shd w:fill="CCEEFF" w:val="clear"/>
            <w:vAlign w:val="bottom"/>
          </w:tcPr>
          <w:p>
            <w:pPr>
              <w:pStyle w:val="TableContents"/>
              <w:bidi w:val="0"/>
              <w:spacing w:before="0" w:after="0"/>
              <w:jc w:val="left"/>
              <w:rPr/>
            </w:pPr>
            <w:r>
              <w:rPr/>
              <w:t>Non-GAAP operating income (loss)</w:t>
            </w:r>
          </w:p>
        </w:tc>
        <w:tc>
          <w:tcPr>
            <w:tcW w:w="90"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pPr>
            <w:r>
              <w:rPr/>
              <w:t>3,701</w:t>
            </w:r>
          </w:p>
        </w:tc>
        <w:tc>
          <w:tcPr>
            <w:tcW w:w="1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pPr>
            <w:r>
              <w:rPr/>
              <w:t>(1,319</w:t>
            </w:r>
          </w:p>
        </w:tc>
        <w:tc>
          <w:tcPr>
            <w:tcW w:w="15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a consolidated basis, the Company had net income of $6.0 million, or $0.28 per diluted share, in 2025, compared to net loss of $1.4 million, or $(0.09) per diluted share, in 2024. The increase in net income was primarily due to an increase in net earned premiums in the property and casualty operations due to a rate increase upon renewal of a program within the automobile liability line of business, as well as increases in earned premiums in the inland marine cargo and automobile physical damage lines of business that were due to increased premium writings. Also contributing to the increase in net income was the Company’s recognition of net unrealized gains on equity securities of $4.5 million and net unrealized losses of $1.5 million during the years ended December 2025 and 2024, respectively. Another contributing factor to the increase in net income was an increase in the net earned premiums for the Medicare Supplement line of business due to new sales within the life and health operations. Partially offsetting this increase was a decrease in net earned premiums in the group life and group accident and health lines of business, as well as increases in the insurance benefits and losses incurred and the future policy benefit remeasurement gain, within the life and health operations. Also partially offsetting the increase in net income was an increase in insurance benefits and losses incurred in the property and casualty operations, primarily due to increased losses in the automobile physical damage and inland marine lines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Total revenue was $210.4 million in 2025 as compared to $188.41 million in 2024. Premium revenue increased to $196.1 million in 2025 from $178.6 million in 2024. The increase in premium revenue was primarily attributable to an increase in earned premiums in the automobile liability line of business due to a rate increase upon renewal of a program within the property and casualty operations. Also contributing to the increase in premium revenue was an increase in the net earned premiums in the Medicare Supplement line of business due to new sales within the life and health operations. Partially offsetting the increase in premium revenue was a decrease in net earned premiums in the group life and group accident and health lines of business within the life and health operations, as previously mentioned.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Operating income was $3.7 million in 2025 as compared to operating loss of $1.3 million in 2024. The increase in operating income was primarily due to an increase in net earned premiums in the property and casualty operations, as well as increases in earned premiums in the inland marine cargo and automobile physical damage lines of business, as discussed above. Also contributing to the increase in operating income was an increase in the net earned premiums in the Medicare Supplement line of business due to new sales within the life and health operations, as previously mentioned.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more detailed analysis of the operating companies and other corporate activities follows.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UNDERWRITING RESULTS</w:t>
      </w:r>
    </w:p>
    <w:p>
      <w:pPr>
        <w:pStyle w:val="TextBody"/>
        <w:bidi w:val="0"/>
        <w:spacing w:before="0" w:after="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American Southern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American Southern’s premiums, losses, expenses and underwriting ratios: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91d6c390d4764129bddfc235828dcf0e"/>
      <w:bookmarkStart w:id="112" w:name="z91d6c390d4764129bddfc235828dcf0e"/>
      <w:bookmarkEnd w:id="112"/>
    </w:p>
    <w:tbl>
      <w:tblPr>
        <w:tblW w:w="7032" w:type="dxa"/>
        <w:jc w:val="left"/>
        <w:tblInd w:w="0" w:type="dxa"/>
        <w:tblLayout w:type="fixed"/>
        <w:tblCellMar>
          <w:top w:w="0" w:type="dxa"/>
          <w:left w:w="0" w:type="dxa"/>
          <w:bottom w:w="0" w:type="dxa"/>
          <w:right w:w="0" w:type="dxa"/>
        </w:tblCellMar>
      </w:tblPr>
      <w:tblGrid>
        <w:gridCol w:w="3920"/>
        <w:gridCol w:w="90"/>
        <w:gridCol w:w="223"/>
        <w:gridCol w:w="931"/>
        <w:gridCol w:w="321"/>
        <w:gridCol w:w="118"/>
        <w:gridCol w:w="223"/>
        <w:gridCol w:w="931"/>
        <w:gridCol w:w="275"/>
      </w:tblGrid>
      <w:tr>
        <w:trPr/>
        <w:tc>
          <w:tcPr>
            <w:tcW w:w="39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7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32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7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(Dollars in thousands)</w:t>
            </w:r>
          </w:p>
        </w:tc>
        <w:tc>
          <w:tcPr>
            <w:tcW w:w="27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Gross written premiums</w:t>
            </w:r>
          </w:p>
        </w:tc>
        <w:tc>
          <w:tcPr>
            <w:tcW w:w="9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pPr>
            <w:r>
              <w:rPr/>
              <w:t>$</w:t>
            </w:r>
          </w:p>
        </w:tc>
        <w:tc>
          <w:tcPr>
            <w:tcW w:w="931" w:type="dxa"/>
            <w:tcBorders/>
            <w:shd w:fill="CCEEFF" w:val="clear"/>
            <w:vAlign w:val="bottom"/>
          </w:tcPr>
          <w:p>
            <w:pPr>
              <w:pStyle w:val="TableContents"/>
              <w:bidi w:val="0"/>
              <w:spacing w:before="0" w:after="0"/>
              <w:jc w:val="right"/>
              <w:rPr/>
            </w:pPr>
            <w:r>
              <w:rPr/>
              <w:t>96,599</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pPr>
            <w:r>
              <w:rPr/>
              <w:t>$</w:t>
            </w:r>
          </w:p>
        </w:tc>
        <w:tc>
          <w:tcPr>
            <w:tcW w:w="931" w:type="dxa"/>
            <w:tcBorders/>
            <w:shd w:fill="CCEEFF" w:val="clear"/>
            <w:vAlign w:val="bottom"/>
          </w:tcPr>
          <w:p>
            <w:pPr>
              <w:pStyle w:val="TableContents"/>
              <w:bidi w:val="0"/>
              <w:spacing w:before="0" w:after="0"/>
              <w:jc w:val="right"/>
              <w:rPr/>
            </w:pPr>
            <w:r>
              <w:rPr/>
              <w:t>73,671</w:t>
            </w:r>
          </w:p>
        </w:tc>
        <w:tc>
          <w:tcPr>
            <w:tcW w:w="27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Ceded premiums</w:t>
            </w:r>
          </w:p>
        </w:tc>
        <w:tc>
          <w:tcPr>
            <w:tcW w:w="90"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(6,165</w:t>
            </w:r>
          </w:p>
        </w:tc>
        <w:tc>
          <w:tcPr>
            <w:tcW w:w="321" w:type="dxa"/>
            <w:tcBorders/>
            <w:vAlign w:val="bottom"/>
          </w:tcPr>
          <w:p>
            <w:pPr>
              <w:pStyle w:val="TableContents"/>
              <w:bidi w:val="0"/>
              <w:spacing w:before="0" w:after="0"/>
              <w:jc w:val="left"/>
              <w:rPr/>
            </w:pPr>
            <w:r>
              <w:rPr/>
              <w:t>)</w:t>
            </w:r>
          </w:p>
        </w:tc>
        <w:tc>
          <w:tcPr>
            <w:tcW w:w="118"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(5,979</w:t>
            </w:r>
          </w:p>
        </w:tc>
        <w:tc>
          <w:tcPr>
            <w:tcW w:w="275" w:type="dxa"/>
            <w:tcBorders/>
            <w:vAlign w:val="bottom"/>
          </w:tcPr>
          <w:p>
            <w:pPr>
              <w:pStyle w:val="TableContents"/>
              <w:bidi w:val="0"/>
              <w:spacing w:before="0" w:after="0"/>
              <w:jc w:val="left"/>
              <w:rPr/>
            </w:pPr>
            <w:r>
              <w:rPr/>
              <w:t>)</w:t>
            </w:r>
          </w:p>
        </w:tc>
      </w:tr>
      <w:tr>
        <w:trPr/>
        <w:tc>
          <w:tcPr>
            <w:tcW w:w="3920" w:type="dxa"/>
            <w:tcBorders/>
            <w:shd w:fill="CCEEFF" w:val="clear"/>
            <w:vAlign w:val="bottom"/>
          </w:tcPr>
          <w:p>
            <w:pPr>
              <w:pStyle w:val="TableContents"/>
              <w:bidi w:val="0"/>
              <w:spacing w:before="0" w:after="0"/>
              <w:jc w:val="left"/>
              <w:rPr/>
            </w:pPr>
            <w:r>
              <w:rPr/>
              <w:t>Net written premiums</w:t>
            </w:r>
          </w:p>
        </w:tc>
        <w:tc>
          <w:tcPr>
            <w:tcW w:w="90"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90,434</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67,692</w:t>
            </w:r>
          </w:p>
        </w:tc>
        <w:tc>
          <w:tcPr>
            <w:tcW w:w="27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Net earned premiums</w:t>
            </w:r>
          </w:p>
        </w:tc>
        <w:tc>
          <w:tcPr>
            <w:tcW w:w="9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0"/>
              <w:jc w:val="left"/>
              <w:rPr/>
            </w:pPr>
            <w:r>
              <w:rPr/>
              <w:t>$</w:t>
            </w:r>
          </w:p>
        </w:tc>
        <w:tc>
          <w:tcPr>
            <w:tcW w:w="931" w:type="dxa"/>
            <w:tcBorders/>
            <w:vAlign w:val="bottom"/>
          </w:tcPr>
          <w:p>
            <w:pPr>
              <w:pStyle w:val="TableContents"/>
              <w:bidi w:val="0"/>
              <w:spacing w:before="0" w:after="0"/>
              <w:jc w:val="right"/>
              <w:rPr/>
            </w:pPr>
            <w:r>
              <w:rPr/>
              <w:t>84,504</w:t>
            </w:r>
          </w:p>
        </w:tc>
        <w:tc>
          <w:tcPr>
            <w:tcW w:w="32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0"/>
              <w:jc w:val="left"/>
              <w:rPr/>
            </w:pPr>
            <w:r>
              <w:rPr/>
              <w:t>$</w:t>
            </w:r>
          </w:p>
        </w:tc>
        <w:tc>
          <w:tcPr>
            <w:tcW w:w="931" w:type="dxa"/>
            <w:tcBorders/>
            <w:vAlign w:val="bottom"/>
          </w:tcPr>
          <w:p>
            <w:pPr>
              <w:pStyle w:val="TableContents"/>
              <w:bidi w:val="0"/>
              <w:spacing w:before="0" w:after="0"/>
              <w:jc w:val="right"/>
              <w:rPr/>
            </w:pPr>
            <w:r>
              <w:rPr/>
              <w:t>67,689</w:t>
            </w:r>
          </w:p>
        </w:tc>
        <w:tc>
          <w:tcPr>
            <w:tcW w:w="27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0"/>
              <w:jc w:val="right"/>
              <w:rPr/>
            </w:pPr>
            <w:r>
              <w:rPr/>
              <w:t>65,254</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0"/>
              <w:jc w:val="right"/>
              <w:rPr/>
            </w:pPr>
            <w:r>
              <w:rPr/>
              <w:t>55,767</w:t>
            </w:r>
          </w:p>
        </w:tc>
        <w:tc>
          <w:tcPr>
            <w:tcW w:w="27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Commissions and underwriting expenses</w:t>
            </w:r>
          </w:p>
        </w:tc>
        <w:tc>
          <w:tcPr>
            <w:tcW w:w="90"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18,506</w:t>
            </w:r>
          </w:p>
        </w:tc>
        <w:tc>
          <w:tcPr>
            <w:tcW w:w="32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15,565</w:t>
            </w:r>
          </w:p>
        </w:tc>
        <w:tc>
          <w:tcPr>
            <w:tcW w:w="27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0"/>
              <w:jc w:val="left"/>
              <w:rPr/>
            </w:pPr>
            <w:r>
              <w:rPr/>
              <w:t>Underwriting income (loss)</w:t>
            </w:r>
          </w:p>
        </w:tc>
        <w:tc>
          <w:tcPr>
            <w:tcW w:w="90"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744</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(3,643</w:t>
            </w:r>
          </w:p>
        </w:tc>
        <w:tc>
          <w:tcPr>
            <w:tcW w:w="275" w:type="dxa"/>
            <w:tcBorders/>
            <w:shd w:fill="CCEEFF" w:val="clear"/>
            <w:vAlign w:val="bottom"/>
          </w:tcPr>
          <w:p>
            <w:pPr>
              <w:pStyle w:val="TableContents"/>
              <w:bidi w:val="0"/>
              <w:spacing w:before="0" w:after="0"/>
              <w:jc w:val="left"/>
              <w:rPr/>
            </w:pPr>
            <w:r>
              <w:rPr/>
              <w:t>)</w:t>
            </w:r>
          </w:p>
        </w:tc>
      </w:tr>
      <w:tr>
        <w:trPr/>
        <w:tc>
          <w:tcPr>
            <w:tcW w:w="3920" w:type="dxa"/>
            <w:tcBorders/>
            <w:vAlign w:val="bottom"/>
          </w:tcPr>
          <w:p>
            <w:pPr>
              <w:pStyle w:val="TableContents"/>
              <w:bidi w:val="0"/>
              <w:spacing w:before="0" w:after="0"/>
              <w:jc w:val="left"/>
              <w:rPr/>
            </w:pPr>
            <w:r>
              <w:rPr/>
              <w:t>Loss ratio</w:t>
            </w:r>
          </w:p>
        </w:tc>
        <w:tc>
          <w:tcPr>
            <w:tcW w:w="9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0"/>
              <w:jc w:val="right"/>
              <w:rPr/>
            </w:pPr>
            <w:r>
              <w:rPr/>
              <w:t>77.2</w:t>
            </w:r>
          </w:p>
        </w:tc>
        <w:tc>
          <w:tcPr>
            <w:tcW w:w="321" w:type="dxa"/>
            <w:tcBorders/>
            <w:vAlign w:val="bottom"/>
          </w:tcPr>
          <w:p>
            <w:pPr>
              <w:pStyle w:val="TableContents"/>
              <w:bidi w:val="0"/>
              <w:spacing w:before="0" w:after="0"/>
              <w:jc w:val="left"/>
              <w:rPr/>
            </w:pPr>
            <w:r>
              <w:rPr/>
              <w:t>%</w:t>
            </w:r>
          </w:p>
        </w:tc>
        <w:tc>
          <w:tcPr>
            <w:tcW w:w="11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0"/>
              <w:jc w:val="right"/>
              <w:rPr/>
            </w:pPr>
            <w:r>
              <w:rPr/>
              <w:t>82.4</w:t>
            </w:r>
          </w:p>
        </w:tc>
        <w:tc>
          <w:tcPr>
            <w:tcW w:w="275" w:type="dxa"/>
            <w:tcBorders/>
            <w:vAlign w:val="bottom"/>
          </w:tcPr>
          <w:p>
            <w:pPr>
              <w:pStyle w:val="TableContents"/>
              <w:bidi w:val="0"/>
              <w:spacing w:before="0" w:after="0"/>
              <w:jc w:val="left"/>
              <w:rPr/>
            </w:pPr>
            <w:r>
              <w:rPr/>
              <w:t>%</w:t>
            </w:r>
          </w:p>
        </w:tc>
      </w:tr>
      <w:tr>
        <w:trPr/>
        <w:tc>
          <w:tcPr>
            <w:tcW w:w="3920" w:type="dxa"/>
            <w:tcBorders/>
            <w:shd w:fill="CCEEFF" w:val="clear"/>
            <w:vAlign w:val="bottom"/>
          </w:tcPr>
          <w:p>
            <w:pPr>
              <w:pStyle w:val="TableContents"/>
              <w:bidi w:val="0"/>
              <w:spacing w:before="0" w:after="0"/>
              <w:jc w:val="left"/>
              <w:rPr/>
            </w:pPr>
            <w:r>
              <w:rPr/>
              <w:t>Expense ratio</w:t>
            </w:r>
          </w:p>
        </w:tc>
        <w:tc>
          <w:tcPr>
            <w:tcW w:w="90"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bottom"/>
          </w:tcPr>
          <w:p>
            <w:pPr>
              <w:pStyle w:val="TableContents"/>
              <w:bidi w:val="0"/>
              <w:spacing w:before="0" w:after="0"/>
              <w:jc w:val="right"/>
              <w:rPr/>
            </w:pPr>
            <w:r>
              <w:rPr/>
              <w:t>21.9</w:t>
            </w:r>
          </w:p>
        </w:tc>
        <w:tc>
          <w:tcPr>
            <w:tcW w:w="321" w:type="dxa"/>
            <w:tcBorders/>
            <w:shd w:fill="CCEEFF" w:val="clear"/>
            <w:vAlign w:val="bottom"/>
          </w:tcPr>
          <w:p>
            <w:pPr>
              <w:pStyle w:val="TableContents"/>
              <w:bidi w:val="0"/>
              <w:spacing w:before="0" w:after="0"/>
              <w:jc w:val="left"/>
              <w:rPr/>
            </w:pPr>
            <w:r>
              <w:rPr/>
              <w:t>%</w:t>
            </w:r>
          </w:p>
        </w:tc>
        <w:tc>
          <w:tcPr>
            <w:tcW w:w="118"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bottom"/>
          </w:tcPr>
          <w:p>
            <w:pPr>
              <w:pStyle w:val="TableContents"/>
              <w:bidi w:val="0"/>
              <w:spacing w:before="0" w:after="0"/>
              <w:jc w:val="right"/>
              <w:rPr/>
            </w:pPr>
            <w:r>
              <w:rPr/>
              <w:t>23.0</w:t>
            </w:r>
          </w:p>
        </w:tc>
        <w:tc>
          <w:tcPr>
            <w:tcW w:w="275" w:type="dxa"/>
            <w:tcBorders/>
            <w:shd w:fill="CCEEFF" w:val="clear"/>
            <w:vAlign w:val="bottom"/>
          </w:tcPr>
          <w:p>
            <w:pPr>
              <w:pStyle w:val="TableContents"/>
              <w:bidi w:val="0"/>
              <w:spacing w:before="0" w:after="0"/>
              <w:jc w:val="left"/>
              <w:rPr/>
            </w:pPr>
            <w:r>
              <w:rPr/>
              <w:t>%</w:t>
            </w:r>
          </w:p>
        </w:tc>
      </w:tr>
      <w:tr>
        <w:trPr/>
        <w:tc>
          <w:tcPr>
            <w:tcW w:w="3920" w:type="dxa"/>
            <w:tcBorders/>
            <w:vAlign w:val="bottom"/>
          </w:tcPr>
          <w:p>
            <w:pPr>
              <w:pStyle w:val="TableContents"/>
              <w:bidi w:val="0"/>
              <w:spacing w:before="0" w:after="0"/>
              <w:ind w:left="180" w:right="0" w:hanging="0"/>
              <w:jc w:val="left"/>
              <w:rPr/>
            </w:pPr>
            <w:r>
              <w:rPr/>
              <w:t>Combined ratio</w:t>
            </w:r>
          </w:p>
        </w:tc>
        <w:tc>
          <w:tcPr>
            <w:tcW w:w="90"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283"/>
              <w:jc w:val="left"/>
              <w:rPr/>
            </w:pPr>
            <w:r>
              <w:rPr/>
              <w:t> </w:t>
            </w:r>
          </w:p>
        </w:tc>
        <w:tc>
          <w:tcPr>
            <w:tcW w:w="931" w:type="dxa"/>
            <w:tcBorders>
              <w:bottom w:val="double" w:sz="8" w:space="0" w:color="000000"/>
            </w:tcBorders>
            <w:tcMar>
              <w:bottom w:w="28" w:type="dxa"/>
            </w:tcMar>
            <w:vAlign w:val="bottom"/>
          </w:tcPr>
          <w:p>
            <w:pPr>
              <w:pStyle w:val="TableContents"/>
              <w:bidi w:val="0"/>
              <w:spacing w:before="0" w:after="0"/>
              <w:jc w:val="right"/>
              <w:rPr/>
            </w:pPr>
            <w:r>
              <w:rPr/>
              <w:t>99.1</w:t>
            </w:r>
          </w:p>
        </w:tc>
        <w:tc>
          <w:tcPr>
            <w:tcW w:w="321" w:type="dxa"/>
            <w:tcBorders/>
            <w:vAlign w:val="bottom"/>
          </w:tcPr>
          <w:p>
            <w:pPr>
              <w:pStyle w:val="TableContents"/>
              <w:bidi w:val="0"/>
              <w:spacing w:before="0" w:after="0"/>
              <w:jc w:val="left"/>
              <w:rPr/>
            </w:pPr>
            <w:r>
              <w:rPr/>
              <w:t>%</w:t>
            </w:r>
          </w:p>
        </w:tc>
        <w:tc>
          <w:tcPr>
            <w:tcW w:w="118"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283"/>
              <w:jc w:val="left"/>
              <w:rPr/>
            </w:pPr>
            <w:r>
              <w:rPr/>
              <w:t> </w:t>
            </w:r>
          </w:p>
        </w:tc>
        <w:tc>
          <w:tcPr>
            <w:tcW w:w="931" w:type="dxa"/>
            <w:tcBorders>
              <w:bottom w:val="double" w:sz="8" w:space="0" w:color="000000"/>
            </w:tcBorders>
            <w:tcMar>
              <w:bottom w:w="28" w:type="dxa"/>
            </w:tcMar>
            <w:vAlign w:val="bottom"/>
          </w:tcPr>
          <w:p>
            <w:pPr>
              <w:pStyle w:val="TableContents"/>
              <w:bidi w:val="0"/>
              <w:spacing w:before="0" w:after="0"/>
              <w:jc w:val="right"/>
              <w:rPr/>
            </w:pPr>
            <w:r>
              <w:rPr/>
              <w:t>105.4</w:t>
            </w:r>
          </w:p>
        </w:tc>
        <w:tc>
          <w:tcPr>
            <w:tcW w:w="27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Gross written premiums at American Southern increased $22.9 million, or 31.1%, during 2025 as compared to 2024. The increase in gross written premiums was primarily attributable to an increase in premiums written in the automobile liability line of business due to the renewal of a program that received a substantial rate increase. Also contributing to the increase in gross written premiums were increases in inland marine cargo due to a new program written by an existing agent, as well as an increase in premiums written in the automobile physical damage line of business resulting from an increase in writings from existing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Ceded premiums increased $0.2 million, or 3.1%, during 2025 as compared to 2024. American Southern’s ceded premiums are typically determined as a percentage of earned premiums and generally increase or decrease as earned premiums increase or decrease or retentions levels change. The increase in ceded premiums was primarily attributable to an increase in catastrophic exposures from increased writings of automobile physical damage and inland marine cargo.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American Southern’s net earned premiums by line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3" w:name="z9bc1bbc1a58c44af9d0ec87bff14209a"/>
      <w:bookmarkStart w:id="114" w:name="z9bc1bbc1a58c44af9d0ec87bff14209a"/>
      <w:bookmarkEnd w:id="114"/>
    </w:p>
    <w:tbl>
      <w:tblPr>
        <w:tblW w:w="5766" w:type="dxa"/>
        <w:jc w:val="left"/>
        <w:tblInd w:w="0" w:type="dxa"/>
        <w:tblLayout w:type="fixed"/>
        <w:tblCellMar>
          <w:top w:w="0" w:type="dxa"/>
          <w:left w:w="0" w:type="dxa"/>
          <w:bottom w:w="0" w:type="dxa"/>
          <w:right w:w="0" w:type="dxa"/>
        </w:tblCellMar>
      </w:tblPr>
      <w:tblGrid>
        <w:gridCol w:w="2810"/>
        <w:gridCol w:w="90"/>
        <w:gridCol w:w="240"/>
        <w:gridCol w:w="1006"/>
        <w:gridCol w:w="127"/>
        <w:gridCol w:w="127"/>
        <w:gridCol w:w="240"/>
        <w:gridCol w:w="1006"/>
        <w:gridCol w:w="120"/>
      </w:tblGrid>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Automobile liability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49,640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39,788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Automobile physical damage</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16,515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13,464</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General liability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6,121</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5,990</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Surety</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5,178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5,809</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Inland marine</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7,050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2,638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84,504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67,689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Net earned premiums increased $16.8 million, or 24.8% , during 2025 as compared to 2024. The increase in net earned premiums was primarily attributable to a rate increase upon renewal of a program within the automobile liability line of business, as well as increases in earned premiums in the inland marine cargo and automobile physical damage lines of business that were due to increased premium writings, as previously mentioned. Premiums are earned ratably over their respective policy terms, and therefore premiums earned in the current year are related to policies written both in the current year and the immediately preceding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performance of a property and casualty insurance company is often measured by its combined ratio. The combined ratio represents the percentage of losses, loss adjustment expenses and other expenses that are incurred for each dollar of premium earned by the company. A combined ratio of under 100% represents an underwriting profit while a combined ratio of over 100% indicates an underwriting loss. The combined ratio is divided into two components, the loss ratio (the ratio of losses and loss adjustment expenses incurred to premiums earned) and the expense ratio (the ratio of expenses incurred to premiums earned).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benefits incurred at American Southern increased $9.5 million, or 17.0%, during 2025 as compared to 2024. As a percentage of premiums, insurance benefits and losses incurred were 77.2% in 2025 as compared to 82.4% in 2024. The decrease in the loss ratio was mainly due to premium growth in automobile liability and physical damage, as well as inland marine cargo that exceeded the increase in insurance benefits and losses incurred.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Commissions and underwriting expenses increased $2.9 million, or 18.9%, during 2025 as compared to 2024. As a percentage of premiums, these expenses were 21.9% in 2025 as compared to 23.0% in 2024. The decrease in the expense ratio was primarily due to American Southern’s use of a variable commission structure with certain agents, which compensates the participating agents in relation to the loss ratios of the business they write. During periods in which the loss ratio decreases, commissions and underwriting expenses will generally increase, and conversely, during periods in which the loss ratio increases, commissions and underwriting expenses will generally decrease. In 2025, variable commissions at American Southern increased $1.2 million as compared to 2024 due to a favorable loss experience from accounts subject to variable commissions. Also contributing to the decrease in the expense ratio were rate increases in various lines of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u w:val="single"/>
        </w:rPr>
      </w:pPr>
      <w:r>
        <w:rPr>
          <w:rFonts w:ascii="Times New Roman" w:hAnsi="Times New Roman"/>
          <w:b/>
          <w:sz w:val="20"/>
          <w:u w:val="single"/>
        </w:rPr>
        <w:t>Bankers Fidelity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summarizes, for the periods indicated, Bankers Fidelity’s premiums, losses and expenses: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5" w:name="z2aaf910d0bd64ebe9dd9024dfccdad8a"/>
      <w:bookmarkStart w:id="116" w:name="z2aaf910d0bd64ebe9dd9024dfccdad8a"/>
      <w:bookmarkEnd w:id="116"/>
    </w:p>
    <w:tbl>
      <w:tblPr>
        <w:tblW w:w="7107" w:type="dxa"/>
        <w:jc w:val="left"/>
        <w:tblInd w:w="0" w:type="dxa"/>
        <w:tblLayout w:type="fixed"/>
        <w:tblCellMar>
          <w:top w:w="0" w:type="dxa"/>
          <w:left w:w="0" w:type="dxa"/>
          <w:bottom w:w="0" w:type="dxa"/>
          <w:right w:w="0" w:type="dxa"/>
        </w:tblCellMar>
      </w:tblPr>
      <w:tblGrid>
        <w:gridCol w:w="3980"/>
        <w:gridCol w:w="90"/>
        <w:gridCol w:w="200"/>
        <w:gridCol w:w="977"/>
        <w:gridCol w:w="288"/>
        <w:gridCol w:w="105"/>
        <w:gridCol w:w="200"/>
        <w:gridCol w:w="977"/>
        <w:gridCol w:w="290"/>
      </w:tblGrid>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90"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7"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vAlign w:val="bottom"/>
          </w:tcPr>
          <w:p>
            <w:pPr>
              <w:pStyle w:val="TableContents"/>
              <w:bidi w:val="0"/>
              <w:spacing w:before="0" w:after="0"/>
              <w:jc w:val="center"/>
              <w:rPr/>
            </w:pPr>
            <w:r>
              <w:rPr/>
              <w:t>(Restated)</w:t>
            </w:r>
          </w:p>
        </w:tc>
        <w:tc>
          <w:tcPr>
            <w:tcW w:w="290"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0"/>
              <w:jc w:val="center"/>
              <w:rPr>
                <w:b/>
              </w:rPr>
            </w:pPr>
            <w:r>
              <w:rPr>
                <w:b/>
              </w:rPr>
              <w:t>(In thousands)</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pPr>
            <w:r>
              <w:rPr/>
              <w:t>Gross earned premiums</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179,872</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164,135</w:t>
            </w:r>
          </w:p>
        </w:tc>
        <w:tc>
          <w:tcPr>
            <w:tcW w:w="290"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pPr>
            <w:r>
              <w:rPr/>
              <w:t>Ceded premiums</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(68,234</w:t>
            </w:r>
          </w:p>
        </w:tc>
        <w:tc>
          <w:tcPr>
            <w:tcW w:w="288"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(53,236</w:t>
            </w:r>
          </w:p>
        </w:tc>
        <w:tc>
          <w:tcPr>
            <w:tcW w:w="290" w:type="dxa"/>
            <w:tcBorders/>
            <w:vAlign w:val="bottom"/>
          </w:tcPr>
          <w:p>
            <w:pPr>
              <w:pStyle w:val="TableContents"/>
              <w:bidi w:val="0"/>
              <w:spacing w:before="0" w:after="0"/>
              <w:jc w:val="left"/>
              <w:rPr/>
            </w:pPr>
            <w:r>
              <w:rPr/>
              <w:t>)</w:t>
            </w:r>
          </w:p>
        </w:tc>
      </w:tr>
      <w:tr>
        <w:trPr/>
        <w:tc>
          <w:tcPr>
            <w:tcW w:w="3980" w:type="dxa"/>
            <w:tcBorders/>
            <w:shd w:fill="CCEEFF" w:val="clear"/>
            <w:vAlign w:val="bottom"/>
          </w:tcPr>
          <w:p>
            <w:pPr>
              <w:pStyle w:val="TableContents"/>
              <w:bidi w:val="0"/>
              <w:spacing w:before="0" w:after="0"/>
              <w:ind w:left="180" w:right="0" w:hanging="0"/>
              <w:jc w:val="left"/>
              <w:rPr/>
            </w:pPr>
            <w:r>
              <w:rPr/>
              <w:t>Net earned premiums</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111,638</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110,899</w:t>
            </w:r>
          </w:p>
        </w:tc>
        <w:tc>
          <w:tcPr>
            <w:tcW w:w="290"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pPr>
            <w:r>
              <w:rPr/>
              <w:t>Insurance benefits and losses incurred</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72,287</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68,311</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pPr>
            <w:r>
              <w:rPr/>
              <w:t>Future policy benefit remeasurement gain</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(4,866</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(2,334</w:t>
            </w:r>
          </w:p>
        </w:tc>
        <w:tc>
          <w:tcPr>
            <w:tcW w:w="290" w:type="dxa"/>
            <w:tcBorders/>
            <w:shd w:fill="CCEEFF" w:val="clear"/>
            <w:vAlign w:val="bottom"/>
          </w:tcPr>
          <w:p>
            <w:pPr>
              <w:pStyle w:val="TableContents"/>
              <w:bidi w:val="0"/>
              <w:spacing w:before="0" w:after="0"/>
              <w:jc w:val="left"/>
              <w:rPr/>
            </w:pPr>
            <w:r>
              <w:rPr/>
              <w:t>)</w:t>
            </w:r>
          </w:p>
        </w:tc>
      </w:tr>
      <w:tr>
        <w:trPr/>
        <w:tc>
          <w:tcPr>
            <w:tcW w:w="3980" w:type="dxa"/>
            <w:tcBorders/>
            <w:vAlign w:val="bottom"/>
          </w:tcPr>
          <w:p>
            <w:pPr>
              <w:pStyle w:val="TableContents"/>
              <w:bidi w:val="0"/>
              <w:spacing w:before="0" w:after="0"/>
              <w:jc w:val="left"/>
              <w:rPr/>
            </w:pPr>
            <w:r>
              <w:rPr/>
              <w:t>Commissions and underwriting expenses</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41,404</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42,181</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0"/>
              <w:jc w:val="left"/>
              <w:rPr/>
            </w:pPr>
            <w:r>
              <w:rPr/>
              <w:t>Total expenses</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108,825</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108,158</w:t>
            </w:r>
          </w:p>
        </w:tc>
        <w:tc>
          <w:tcPr>
            <w:tcW w:w="290"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360" w:right="0" w:hanging="0"/>
              <w:jc w:val="left"/>
              <w:rPr/>
            </w:pPr>
            <w:r>
              <w:rPr/>
              <w:t>Underwriting income (loss)</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pPr>
            <w:r>
              <w:rPr/>
              <w:t>$</w:t>
            </w:r>
          </w:p>
        </w:tc>
        <w:tc>
          <w:tcPr>
            <w:tcW w:w="977" w:type="dxa"/>
            <w:tcBorders>
              <w:bottom w:val="double" w:sz="8" w:space="0" w:color="000000"/>
            </w:tcBorders>
            <w:tcMar>
              <w:bottom w:w="28" w:type="dxa"/>
            </w:tcMar>
            <w:vAlign w:val="bottom"/>
          </w:tcPr>
          <w:p>
            <w:pPr>
              <w:pStyle w:val="TableContents"/>
              <w:bidi w:val="0"/>
              <w:spacing w:before="0" w:after="0"/>
              <w:jc w:val="right"/>
              <w:rPr/>
            </w:pPr>
            <w:r>
              <w:rPr/>
              <w:t>2,813</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pPr>
            <w:r>
              <w:rPr/>
              <w:t>$</w:t>
            </w:r>
          </w:p>
        </w:tc>
        <w:tc>
          <w:tcPr>
            <w:tcW w:w="977" w:type="dxa"/>
            <w:tcBorders>
              <w:bottom w:val="double" w:sz="8" w:space="0" w:color="000000"/>
            </w:tcBorders>
            <w:tcMar>
              <w:bottom w:w="28" w:type="dxa"/>
            </w:tcMar>
            <w:vAlign w:val="bottom"/>
          </w:tcPr>
          <w:p>
            <w:pPr>
              <w:pStyle w:val="TableContents"/>
              <w:bidi w:val="0"/>
              <w:spacing w:before="0" w:after="0"/>
              <w:jc w:val="right"/>
              <w:rPr/>
            </w:pPr>
            <w:r>
              <w:rPr/>
              <w:t>2,741</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pPr>
            <w:r>
              <w:rPr/>
              <w:t>Loss ratio</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60.4</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59.5</w:t>
            </w:r>
          </w:p>
        </w:tc>
        <w:tc>
          <w:tcPr>
            <w:tcW w:w="290" w:type="dxa"/>
            <w:tcBorders/>
            <w:shd w:fill="CCEEFF" w:val="clear"/>
            <w:vAlign w:val="bottom"/>
          </w:tcPr>
          <w:p>
            <w:pPr>
              <w:pStyle w:val="TableContents"/>
              <w:bidi w:val="0"/>
              <w:spacing w:before="0" w:after="0"/>
              <w:jc w:val="left"/>
              <w:rPr/>
            </w:pPr>
            <w:r>
              <w:rPr/>
              <w:t>%</w:t>
            </w:r>
          </w:p>
        </w:tc>
      </w:tr>
      <w:tr>
        <w:trPr/>
        <w:tc>
          <w:tcPr>
            <w:tcW w:w="3980" w:type="dxa"/>
            <w:tcBorders/>
            <w:vAlign w:val="bottom"/>
          </w:tcPr>
          <w:p>
            <w:pPr>
              <w:pStyle w:val="TableContents"/>
              <w:bidi w:val="0"/>
              <w:spacing w:before="0" w:after="0"/>
              <w:jc w:val="left"/>
              <w:rPr/>
            </w:pPr>
            <w:r>
              <w:rPr/>
              <w:t>Expense ratio</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37.1</w:t>
            </w:r>
          </w:p>
        </w:tc>
        <w:tc>
          <w:tcPr>
            <w:tcW w:w="288"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38.0</w:t>
            </w:r>
          </w:p>
        </w:tc>
        <w:tc>
          <w:tcPr>
            <w:tcW w:w="290" w:type="dxa"/>
            <w:tcBorders/>
            <w:vAlign w:val="bottom"/>
          </w:tcPr>
          <w:p>
            <w:pPr>
              <w:pStyle w:val="TableContents"/>
              <w:bidi w:val="0"/>
              <w:spacing w:before="0" w:after="0"/>
              <w:jc w:val="left"/>
              <w:rPr/>
            </w:pPr>
            <w:r>
              <w:rPr/>
              <w:t>%</w:t>
            </w:r>
          </w:p>
        </w:tc>
      </w:tr>
      <w:tr>
        <w:trPr/>
        <w:tc>
          <w:tcPr>
            <w:tcW w:w="3980" w:type="dxa"/>
            <w:tcBorders/>
            <w:shd w:fill="CCEEFF" w:val="clear"/>
            <w:vAlign w:val="bottom"/>
          </w:tcPr>
          <w:p>
            <w:pPr>
              <w:pStyle w:val="TableContents"/>
              <w:bidi w:val="0"/>
              <w:spacing w:before="0" w:after="0"/>
              <w:ind w:left="180" w:right="0" w:hanging="0"/>
              <w:jc w:val="left"/>
              <w:rPr/>
            </w:pPr>
            <w:r>
              <w:rPr/>
              <w:t>Combined ratio</w:t>
            </w:r>
          </w:p>
        </w:tc>
        <w:tc>
          <w:tcPr>
            <w:tcW w:w="9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double" w:sz="8" w:space="0" w:color="000000"/>
            </w:tcBorders>
            <w:shd w:fill="CCEEFF" w:val="clear"/>
            <w:tcMar>
              <w:bottom w:w="28" w:type="dxa"/>
            </w:tcMar>
            <w:vAlign w:val="bottom"/>
          </w:tcPr>
          <w:p>
            <w:pPr>
              <w:pStyle w:val="TableContents"/>
              <w:bidi w:val="0"/>
              <w:spacing w:before="0" w:after="0"/>
              <w:jc w:val="right"/>
              <w:rPr/>
            </w:pPr>
            <w:r>
              <w:rPr/>
              <w:t>97.5</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double" w:sz="8" w:space="0" w:color="000000"/>
            </w:tcBorders>
            <w:shd w:fill="CCEEFF" w:val="clear"/>
            <w:tcMar>
              <w:bottom w:w="28" w:type="dxa"/>
            </w:tcMar>
            <w:vAlign w:val="bottom"/>
          </w:tcPr>
          <w:p>
            <w:pPr>
              <w:pStyle w:val="TableContents"/>
              <w:bidi w:val="0"/>
              <w:spacing w:before="0" w:after="0"/>
              <w:jc w:val="right"/>
              <w:rPr/>
            </w:pPr>
            <w:r>
              <w:rPr/>
              <w:t>97.5</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Gross earned premiums at Bankers Fidelity increased $15.7 million, or 9.6%, during 2025 as compared to 2024. The increase in gross earned premiums was primarily attributable to the increase in gross earned premiums from the Medicare Supplement line of business due primarily to the level of new business writings exceeding non-renewals. This increase was partially offset by a decline in the group life and group accident and health lines of business, primarily due to lower policy sales.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Ceded premiums increased $15.0 million, or 28.2%, during 2025 as compared to 2024. The increase in ceded premiums was due to an increase in Medicare Supplement premiums subject to reinsurance.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Bankers Fidelity’s net earned premiums by line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7" w:name="zc513482eba4f4657a59bcf8d39b413b0"/>
      <w:bookmarkStart w:id="118" w:name="zc513482eba4f4657a59bcf8d39b413b0"/>
      <w:bookmarkEnd w:id="118"/>
    </w:p>
    <w:tbl>
      <w:tblPr>
        <w:tblW w:w="5528" w:type="dxa"/>
        <w:jc w:val="left"/>
        <w:tblInd w:w="0" w:type="dxa"/>
        <w:tblLayout w:type="fixed"/>
        <w:tblCellMar>
          <w:top w:w="0" w:type="dxa"/>
          <w:left w:w="0" w:type="dxa"/>
          <w:bottom w:w="0" w:type="dxa"/>
          <w:right w:w="0" w:type="dxa"/>
        </w:tblCellMar>
      </w:tblPr>
      <w:tblGrid>
        <w:gridCol w:w="2555"/>
        <w:gridCol w:w="90"/>
        <w:gridCol w:w="214"/>
        <w:gridCol w:w="1047"/>
        <w:gridCol w:w="113"/>
        <w:gridCol w:w="113"/>
        <w:gridCol w:w="214"/>
        <w:gridCol w:w="1047"/>
        <w:gridCol w:w="135"/>
      </w:tblGrid>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3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3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0"/>
              <w:jc w:val="center"/>
              <w:rPr/>
            </w:pPr>
            <w:r>
              <w:rPr/>
              <w:t>(Restated)</w:t>
            </w:r>
          </w:p>
        </w:tc>
        <w:tc>
          <w:tcPr>
            <w:tcW w:w="13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vAlign w:val="bottom"/>
          </w:tcPr>
          <w:p>
            <w:pPr>
              <w:pStyle w:val="TableContents"/>
              <w:bidi w:val="0"/>
              <w:spacing w:before="0" w:after="0"/>
              <w:jc w:val="center"/>
              <w:rPr>
                <w:b/>
              </w:rPr>
            </w:pPr>
            <w:r>
              <w:rPr>
                <w:b/>
              </w:rPr>
              <w:t>(In thousands)</w:t>
            </w:r>
          </w:p>
        </w:tc>
        <w:tc>
          <w:tcPr>
            <w:tcW w:w="13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75,360</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71,766</w:t>
            </w:r>
          </w:p>
        </w:tc>
        <w:tc>
          <w:tcPr>
            <w:tcW w:w="13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pPr>
            <w:r>
              <w:rPr/>
              <w:t>Group life</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12,559</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14,270</w:t>
            </w:r>
          </w:p>
        </w:tc>
        <w:tc>
          <w:tcPr>
            <w:tcW w:w="13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pPr>
            <w:r>
              <w:rPr/>
              <w:t>Individual life</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5,600</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5,922</w:t>
            </w:r>
          </w:p>
        </w:tc>
        <w:tc>
          <w:tcPr>
            <w:tcW w:w="13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pPr>
            <w:r>
              <w:rPr/>
              <w:t>Group accident and health</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9,178</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11,469</w:t>
            </w:r>
          </w:p>
        </w:tc>
        <w:tc>
          <w:tcPr>
            <w:tcW w:w="13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pPr>
            <w:r>
              <w:rPr/>
              <w:t>Other individual health</w:t>
            </w:r>
          </w:p>
        </w:tc>
        <w:tc>
          <w:tcPr>
            <w:tcW w:w="90"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8,941</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7,472</w:t>
            </w:r>
          </w:p>
        </w:tc>
        <w:tc>
          <w:tcPr>
            <w:tcW w:w="13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111,638</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110,899</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Net earned premium revenue at Bankers Fidelity increased $0.7 million, or 0.7%, during 2025 as compared to 2024. The increase in net earned premiums was primarily due to net earned premiums in the Medicare Supplement line of business, primarily attributable to new sales, as previously discussed, and an increase in net earned premiums in the other individual health line of business due to new business growth. Partially offsetting these increase was a decline in earned premiums in the group life and group accident and health lines of business, as previously mentioned.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benefits incurred increased $4.0 million, or 5.8%, during 2025 as compared to 2024. Future policy benefit remeasurement gain arises as a result of updating assumptions in the net premium ratio (sometimes referred to as unlocking) and updating expected cash flow with actual cash flow, as of the beginning of the current reporting period. The future policy benefit remeasurement gain was $4.8 million in 2025 and $2.3 million in 2024. As a percentage of premiums, benefits and losses, which included insurance benefits and future policy benefits remeasurement gain, were 61.4% in 2025 as compared to 59.3% in 2024. The increase in the loss ratio was primarily attributable to higher insurance benefits incurred in the group life line of business in conjunction with lower earned premiums, partially offset by lower short-term care benefits incurred and improved loss experience in the Medicare Supplement line of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Commissions and underwriting expenses decreased $0.8 million, or 1.8%, during 2025 as compared to 2024. As a percentage of earned premiums, these expenses were 37.7% in 2025 as compared to 37.9% in 2024. The decrease in the expense ratio was primarily attributable to lower underwriting expenses during the year. This decrease was partially offset by higher commission expenses associated with growth in the Medicare Supplement line business, as a result of the level of new business writings exceeding non-renewals, as previously mentioned.</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Net Investment Income and Realized Gains (Losses)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 income increased $0.5 million, or 4.9%, in 2025 as compared to 2024. The increase in investment income was primarily attributable to an increase in income from equity securities in our investment portfolio.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had net realized investment losses of $0.5 million in 2025 as compared to net realized investment gains of $1.2 million in 2024. The net realized investment losses in 2025 were mainly due to losses of $0.7 million, resulting primarily from an impairment of a security in the Company’s investments in fixed maturity securities. The net realized investment gains in 2024 were mainly due to gains of $1.2 million from the sale of the Company’s interest in a certain limited liability company as well as gains from the sale of a number of the Company’s investments in fixed maturity securities. Management continually evaluates the Company’s investment portfolio and, as may be determined to be appropriate, makes adjustments for impairments and/or will divest investments. See Note 2 of 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Unrealized Gains (Losses) on Equity Securities, Net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Investments in equity securities are measured at fair value at the end of the reporting period, with any changes in fair value reported in net income during the period. The Company recognized net unrealized gains on equity securities of $4.5 million and net unrealized losses of $1.5 million during the years ended December 2025 and 2024, respectively. Changes in unrealized losses on equity securities for the applicable periods are primarily the result of fluctuations in the market value of certain of the Company’s equity securities.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Interest Expense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Interest expense decreased $0.3 million, or 9.9%, in 2025 as compared to 2024. Changes in interest expense were primarily due to changes in the Secured Overnight Financing Rate (“SOFR”) published by CME Group Benchmark Administration Limited, as the interest rates on the Company’s outstanding junior subordinated deferrable interest debentures (“Junior Subordinated Debentures”) and the revolving credit facility utilize SOFR as the reference rate.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Income Taxes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sz w:val="20"/>
        </w:rPr>
        <w:t>The Company has adopted ASU 2023-09 – Improvements to Income Tax Disclosures which requires the Company to disaggregate state income tax expense, net of the federal income tax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primary difference between the effective tax rate and the federal statutory income tax rate for 2025 resulted from a permanent difference related to meals and entertainment. Another contributing factor to the differences between the effective tax rate and the federal statutory income tax rate was a permanent difference related to dividends-received deduction (“DRD”). The current estimated DRD is adjusted as underlying factors change and can vary from estimates based on, but not limited to, actual distributions from investments as well as the amount of the Company’s taxable income.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primary difference between the effective tax rate and the federal statutory income tax rate for 2024 resulted from a permanent difference related to meals and entertainment. Also contributing to differences between the effective tax rate and the federal statutory income tax rate was the adjustment for prior years’ estimates to actual that are generally updated at the completion of the third quarter of each fiscal year and were $35 in the year ended December 31, 2024. Another contributing factor to the differences between the effective tax rate and the federal statutory income tax rate was a permanent difference related to the DRD. </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Liquidity and Capital Resources</w:t>
      </w:r>
    </w:p>
    <w:p>
      <w:pPr>
        <w:pStyle w:val="TextBody"/>
        <w:bidi w:val="0"/>
        <w:spacing w:before="0" w:after="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 xml:space="preserve">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as well as borrowings from time to time under our revolving credit facility.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operating expenses as needed. </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 flows at the Parent are derived from dividends, management fees, and tax-sharing payments from the subsidiaries, as described below. The principal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December 31, 2025, the Parent had approximately $4.1 million of unrestricted cash and investments.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Dividend payments to a parent corporation by its wholly-owned insurance subsidiaries are subject to annual limitations and are restricted to 10% of statutory surplus or statutory earnings before recognizing realized investment gains of the individual insurance subsidiaries. At December 31, 2025, the Parent’s insurance subsidiaries had an aggregate statutory surplus of $83.1 million. Dividends were paid to Atlantic American by its subsidiaries totaling $8.4 million and $9.0 million in 2025 and 2024,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 provides certain administrative, purchasing and other services to each of its subsidiaries. The amount charged to and paid by the subsidiaries for these services was $8.7 million and $9.4 million in 2025 and 2024, respectively. In addition, the Parent has a formal tax-sharing agreement with each of its insurance subsidiaries. A net total of $1.3 million and $4.4 million were paid to the Parent under the tax sharing agreement in 2025 and 2024,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Debentures. The outstanding $18.0 million and $15.7 million of Junior Subordinated Debentures mature on December 4, 2032 and May 15, 2033, respectively, are callable quarterly, in whole or in part, only at the option of the Company, and have an interest rate of 3-month CME Term SOFR plus applicable tenor spread of 0.26161% plus an applicable margin. The margin ranges from 4.00% to 4.10%. At December 31, 2025, the effective interest rate was 8.13%.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The Company has not made such an election.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intends to pay its obligations under the Junior Subordinated Debentures using existing cash balances, dividend and tax-sharing payments from the operating subsidiaries, or from existing or potential future financing arrangements.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December 31, 2025, the Company had 55,000 shares of Series D preferred stock (“Series D Preferred Stock”) outstanding. All of the shares of Series D Preferred Stock are held by an affiliate of the Company’s controlling shareholder. The outstanding shares of Series D Preferred Stock have a redemption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1,378,000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The Company had accrued, but unpaid, dividends on the Series D Preferred Stock of $17.7 thousand at December 31, 2025 and 2024. During each of 2025 and 2024, the Company paid Series D Preferred Stock dividends of $0.4 million.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Life Insurance Company (‘‘BFLIC”) is a member of the Federal Home Loan Bank of Atlanta (“FHLB”), for the primary purpose of enhancing financial flexibility. As a member, BFLIC can obtain access to low-cost funding and also receive dividends on FHLB stock. The membership arrangement provides for credit availability of fifteen percent of statutory admitted assets, or approximately $27.3 million, as of December 31, 2025. Additional FHLB stock purchases may be required based upon the amount of funds borrowed from the FHLB. As of December 31, 2025, BFLIC has pledged bonds having an amortized cost of $8.9 million to the FHLB. BFLIC may be required to post additional acceptable forms of collateral for any borrowings that it makes in the future from the FHLB. As of December 31, 2025, BFLIC does not have any outstanding borrowings from the FHLB.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12, 2021, the Company entered into a revolving credit agreement (“Revolving Credit Agreement”) with Truist Bank as the lender (the “Lender”). The Revolving Credit Agreement provides for an unsecured $10.0 million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 million. On May 27, 2026, July 31, 2026, October 9, 2026 and October 15, 2026, the Company and the Lender entered into amendments to the Credit Agreement, each of which had the effect of extending the then-applicable deadlines by which the Company must deliver to the Lender (i) the Company’s audited consolidated financial statements for the year ended December 31, 2025, (ii) the Company’s interim consolidated financial statements for the quarters ended March 31, 2026, June 30, 2026 and September 30, 2026, and (iii) related certificates of the Company’s compliance with financial covenants under the Credit Agreement and certain other matters. The Fifth Amendment to the Revolving Credit Agreement, dated October 15, 2026, also amended the minimum AM Best financial strength rating that must be maintained by American Southern Insurance Company to be no lower than “A-” and waived related defaults under the Credit Agreement occurring prior to such amendment. Except as modified by these amendments, the existing terms of the original Credit Agreement remain in effect.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Credit Agreement requires the Company to comply with certain covenants, including a debt to 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December 31, 2025 and 2024, the Company had outstanding borrowings of $5.0 million and $4.0 million under the Credit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 and cash equivalents increased from $35.6 million at December 31, 2024 to $43.6 million at December 31, 2025. The increase in cash and cash equivalents during 2025 was primarily attributable to net cash provided by operating activities of $32.9 million. Partially offsetting the increase in cash and cash equivalents was net cash used in investing activities of $25.0 million primarily as a result of investment purchases exceeding investment sales and maturity of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believes that existing cash balances as well as the dividends, fees, and tax-sharing payments it expects to receive from its subsidiaries and, if needed, additional borrowings from financial institutions, will enable the Company to meet its liquidity requirements for the next 12 months and thereafter for the foreseeable future. Management is not aware of any current recommendations by regulatory authorities, which, if implemented, would have a material adverse effect on the Company’s liquidity, capital resources or operations.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Internal Control Over Financial Reporting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Management’s conclusion that the errors were not material to the previously issued 2024 consolidated financial statements is separate from management’s evaluation of the severity of the related deficiencies in internal control over financial reporting.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A control deficiency may constitute a material weakness even when the financial-statement errors identified were not material. </w:t>
      </w:r>
      <w:r>
        <w:rPr>
          <w:rFonts w:ascii="Times New Roman" w:hAnsi="Times New Roman"/>
          <w:spacing w:val="0"/>
          <w:sz w:val="20"/>
        </w:rPr>
        <w:t>As discussed in Item 9A, Controls and Procedures, management concluded that deficiencies in controls over enrollment information, policy-status maintenance, due-premium accounting, account reconciliations and related management review created a reasonable possibility that a material misstatement would not be prevented or detected on a timely basis. Management therefore concluded that these deficiencies, considered collectively, constituted a material weakness as of December 31, 2025.</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Correcting the identified errors addressed the financial-statement effects but did not remediate the material weakness. Management has implemented and continues to implement the remediation measures described in Item 9A. </w:t>
      </w:r>
    </w:p>
    <w:p>
      <w:pPr>
        <w:pStyle w:val="TextBody"/>
        <w:bidi w:val="0"/>
        <w:spacing w:before="0" w:after="0"/>
        <w:jc w:val="left"/>
        <w:rPr/>
      </w:pPr>
      <w:r>
        <w:rPr/>
        <w:t xml:space="preserve">  </w:t>
      </w:r>
    </w:p>
    <w:p>
      <w:pPr>
        <w:pStyle w:val="TextBody"/>
        <w:bidi w:val="0"/>
        <w:spacing w:before="0" w:after="0"/>
        <w:jc w:val="both"/>
        <w:rPr>
          <w:rFonts w:ascii="Times New Roman" w:hAnsi="Times New Roman"/>
          <w:b/>
          <w:sz w:val="20"/>
        </w:rPr>
      </w:pPr>
      <w:r>
        <w:rPr>
          <w:rFonts w:ascii="Times New Roman" w:hAnsi="Times New Roman"/>
          <w:b/>
          <w:sz w:val="20"/>
        </w:rPr>
        <w:t>New Accounting Pronouncements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See “Recently Issued Accounting Standards” in Note 1 of 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Impact of Inflation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premiums are established before the amount of losses and loss adjustment expenses, or the extent to which inflation may affect such losses and expenses, are known. Consequently, in establishing its premiums, the Company attempts to anticipate the potential impact of inflation. If, for competitive reasons, premiums cannot be increased to anticipate inflation, this cost would be absorbed by the Company. Inflation also affects the rate of investment return on the Company’s investment portfolio with a corresponding effect on investment income.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9" w:name="z0c911461e7b146a49b0e32080994a420"/>
      <w:bookmarkStart w:id="120" w:name="QuantitativeandQualitativ"/>
      <w:bookmarkStart w:id="121" w:name="z0c911461e7b146a49b0e32080994a420"/>
      <w:bookmarkStart w:id="122" w:name="QuantitativeandQualitativ"/>
      <w:bookmarkEnd w:id="121"/>
      <w:bookmarkEnd w:id="122"/>
    </w:p>
    <w:tbl>
      <w:tblPr>
        <w:tblW w:w="7180" w:type="dxa"/>
        <w:jc w:val="left"/>
        <w:tblInd w:w="0" w:type="dxa"/>
        <w:tblLayout w:type="fixed"/>
        <w:tblCellMar>
          <w:top w:w="0" w:type="dxa"/>
          <w:left w:w="0" w:type="dxa"/>
          <w:bottom w:w="0" w:type="dxa"/>
          <w:right w:w="0" w:type="dxa"/>
        </w:tblCellMar>
      </w:tblPr>
      <w:tblGrid>
        <w:gridCol w:w="950"/>
        <w:gridCol w:w="6230"/>
      </w:tblGrid>
      <w:tr>
        <w:trPr/>
        <w:tc>
          <w:tcPr>
            <w:tcW w:w="950" w:type="dxa"/>
            <w:tcBorders/>
            <w:vAlign w:val="center"/>
          </w:tcPr>
          <w:p>
            <w:pPr>
              <w:pStyle w:val="TableContents"/>
              <w:bidi w:val="0"/>
              <w:spacing w:before="0" w:after="283"/>
              <w:jc w:val="left"/>
              <w:rPr>
                <w:b/>
              </w:rPr>
            </w:pPr>
            <w:r>
              <w:rPr>
                <w:b/>
              </w:rPr>
              <w:t>Item 7A.</w:t>
            </w:r>
          </w:p>
        </w:tc>
        <w:tc>
          <w:tcPr>
            <w:tcW w:w="623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a smaller reporting company, we have elected to comply with certain scaled disclosure reporting obligations, and therefore are not providing the information required by this Item.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123" w:name="zbb98239d297b421088a7c26a7ad52979"/>
      <w:bookmarkStart w:id="124" w:name="FinancialStatementsandSup"/>
      <w:bookmarkStart w:id="125" w:name="zbb98239d297b421088a7c26a7ad52979"/>
      <w:bookmarkStart w:id="126" w:name="FinancialStatementsandSup"/>
      <w:bookmarkEnd w:id="125"/>
      <w:bookmarkEnd w:id="126"/>
    </w:p>
    <w:tbl>
      <w:tblPr>
        <w:tblW w:w="5605" w:type="dxa"/>
        <w:jc w:val="left"/>
        <w:tblInd w:w="0" w:type="dxa"/>
        <w:tblLayout w:type="fixed"/>
        <w:tblCellMar>
          <w:top w:w="0" w:type="dxa"/>
          <w:left w:w="0" w:type="dxa"/>
          <w:bottom w:w="0" w:type="dxa"/>
          <w:right w:w="0" w:type="dxa"/>
        </w:tblCellMar>
      </w:tblPr>
      <w:tblGrid>
        <w:gridCol w:w="770"/>
        <w:gridCol w:w="4835"/>
      </w:tblGrid>
      <w:tr>
        <w:trPr/>
        <w:tc>
          <w:tcPr>
            <w:tcW w:w="770" w:type="dxa"/>
            <w:tcBorders/>
            <w:vAlign w:val="center"/>
          </w:tcPr>
          <w:p>
            <w:pPr>
              <w:pStyle w:val="TableContents"/>
              <w:bidi w:val="0"/>
              <w:spacing w:before="0" w:after="283"/>
              <w:jc w:val="left"/>
              <w:rPr>
                <w:b/>
              </w:rPr>
            </w:pPr>
            <w:r>
              <w:rPr>
                <w:b/>
              </w:rPr>
              <w:t>Item 8.</w:t>
            </w:r>
          </w:p>
        </w:tc>
        <w:tc>
          <w:tcPr>
            <w:tcW w:w="4835" w:type="dxa"/>
            <w:tcBorders/>
            <w:vAlign w:val="center"/>
          </w:tcPr>
          <w:p>
            <w:pPr>
              <w:pStyle w:val="TableContents"/>
              <w:bidi w:val="0"/>
              <w:spacing w:before="0" w:after="0"/>
              <w:jc w:val="left"/>
              <w:rPr>
                <w:b/>
              </w:rPr>
            </w:pPr>
            <w:r>
              <w:rPr>
                <w:b/>
              </w:rPr>
              <w:t>Financial Statements and Supplementary Data</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INDEX TO FINANCIAL STATEMENTS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7" w:name="z981b0991d8294e998268a2272dfaf109"/>
      <w:bookmarkStart w:id="128" w:name="z981b0991d8294e998268a2272dfaf109"/>
      <w:bookmarkEnd w:id="128"/>
    </w:p>
    <w:tbl>
      <w:tblPr>
        <w:tblW w:w="10205" w:type="dxa"/>
        <w:jc w:val="left"/>
        <w:tblInd w:w="0" w:type="dxa"/>
        <w:tblLayout w:type="fixed"/>
        <w:tblCellMar>
          <w:top w:w="0" w:type="dxa"/>
          <w:left w:w="0" w:type="dxa"/>
          <w:bottom w:w="0" w:type="dxa"/>
          <w:right w:w="0" w:type="dxa"/>
        </w:tblCellMar>
      </w:tblPr>
      <w:tblGrid>
        <w:gridCol w:w="9630"/>
        <w:gridCol w:w="575"/>
      </w:tblGrid>
      <w:tr>
        <w:trPr/>
        <w:tc>
          <w:tcPr>
            <w:tcW w:w="9630"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0"/>
              <w:jc w:val="center"/>
              <w:rPr>
                <w:b/>
              </w:rPr>
            </w:pPr>
            <w:r>
              <w:rPr>
                <w:b/>
              </w:rPr>
              <w:t>Page</w:t>
            </w:r>
          </w:p>
        </w:tc>
      </w:tr>
      <w:tr>
        <w:trPr/>
        <w:tc>
          <w:tcPr>
            <w:tcW w:w="9630" w:type="dxa"/>
            <w:tcBorders/>
            <w:vAlign w:val="center"/>
          </w:tcPr>
          <w:p>
            <w:pPr>
              <w:pStyle w:val="TableContents"/>
              <w:bidi w:val="0"/>
              <w:spacing w:before="0" w:after="0"/>
              <w:jc w:val="left"/>
              <w:rPr>
                <w:b/>
              </w:rPr>
            </w:pPr>
            <w:r>
              <w:rPr>
                <w:b/>
              </w:rPr>
              <w:t>ATLANTIC AMERICAN CORPORATION</w:t>
            </w:r>
          </w:p>
        </w:tc>
        <w:tc>
          <w:tcPr>
            <w:tcW w:w="575" w:type="dxa"/>
            <w:tcBorders/>
            <w:vAlign w:val="center"/>
          </w:tcPr>
          <w:p>
            <w:pPr>
              <w:pStyle w:val="TableContents"/>
              <w:bidi w:val="0"/>
              <w:spacing w:before="0" w:after="283"/>
              <w:jc w:val="left"/>
              <w:rPr/>
            </w:pPr>
            <w:r>
              <w:rPr/>
              <w:t> </w:t>
            </w:r>
          </w:p>
        </w:tc>
      </w:tr>
      <w:tr>
        <w:trPr/>
        <w:tc>
          <w:tcPr>
            <w:tcW w:w="963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9630" w:type="dxa"/>
            <w:tcBorders/>
            <w:shd w:fill="CCEEFF" w:val="clear"/>
            <w:vAlign w:val="center"/>
          </w:tcPr>
          <w:p>
            <w:pPr>
              <w:pStyle w:val="TableContents"/>
              <w:bidi w:val="0"/>
              <w:spacing w:before="0" w:after="0"/>
              <w:jc w:val="left"/>
              <w:rPr/>
            </w:pPr>
            <w:hyperlink w:anchor="Report_of_Independent_Registered_Public_Accounting_Firm1">
              <w:r>
                <w:rPr>
                  <w:rStyle w:val="InternetLink"/>
                </w:rPr>
                <w:t>Report of Independent Registered Public Accounting Firm</w:t>
              </w:r>
            </w:hyperlink>
            <w:r>
              <w:rPr/>
              <w:t xml:space="preserve"> (Forvis Mazars, LLP), Atlanta, Georgia, PCAOB Firm ID No. 686)</w:t>
            </w:r>
          </w:p>
        </w:tc>
        <w:tc>
          <w:tcPr>
            <w:tcW w:w="575" w:type="dxa"/>
            <w:tcBorders/>
            <w:shd w:fill="CCEEFF" w:val="clear"/>
            <w:vAlign w:val="center"/>
          </w:tcPr>
          <w:p>
            <w:pPr>
              <w:pStyle w:val="TableContents"/>
              <w:bidi w:val="0"/>
              <w:spacing w:before="0" w:after="283"/>
              <w:jc w:val="right"/>
              <w:rPr/>
            </w:pPr>
            <w:r>
              <w:rPr/>
              <w:t>26</w:t>
            </w:r>
          </w:p>
        </w:tc>
      </w:tr>
      <w:tr>
        <w:trPr/>
        <w:tc>
          <w:tcPr>
            <w:tcW w:w="9630" w:type="dxa"/>
            <w:tcBorders/>
            <w:vAlign w:val="center"/>
          </w:tcPr>
          <w:p>
            <w:pPr>
              <w:pStyle w:val="TableContents"/>
              <w:bidi w:val="0"/>
              <w:spacing w:before="0" w:after="0"/>
              <w:jc w:val="left"/>
              <w:rPr/>
            </w:pPr>
            <w:hyperlink w:anchor="CONSOLIDATEDBALANCESHEETS">
              <w:r>
                <w:rPr>
                  <w:rStyle w:val="InternetLink"/>
                </w:rPr>
                <w:t>Consolidated Balance Sheets as of December 31, 2025 and 2024</w:t>
              </w:r>
            </w:hyperlink>
          </w:p>
        </w:tc>
        <w:tc>
          <w:tcPr>
            <w:tcW w:w="575" w:type="dxa"/>
            <w:tcBorders/>
            <w:vAlign w:val="center"/>
          </w:tcPr>
          <w:p>
            <w:pPr>
              <w:pStyle w:val="TableContents"/>
              <w:bidi w:val="0"/>
              <w:spacing w:before="0" w:after="283"/>
              <w:jc w:val="right"/>
              <w:rPr/>
            </w:pPr>
            <w:r>
              <w:rPr/>
              <w:t>29</w:t>
            </w:r>
          </w:p>
        </w:tc>
      </w:tr>
      <w:tr>
        <w:trPr/>
        <w:tc>
          <w:tcPr>
            <w:tcW w:w="9630" w:type="dxa"/>
            <w:tcBorders/>
            <w:shd w:fill="CCEEFF" w:val="clear"/>
            <w:vAlign w:val="center"/>
          </w:tcPr>
          <w:p>
            <w:pPr>
              <w:pStyle w:val="TableContents"/>
              <w:bidi w:val="0"/>
              <w:spacing w:before="0" w:after="0"/>
              <w:jc w:val="left"/>
              <w:rPr/>
            </w:pPr>
            <w:hyperlink w:anchor="STATEMENTSOFOPERATIONS">
              <w:r>
                <w:rPr>
                  <w:rStyle w:val="InternetLink"/>
                </w:rPr>
                <w:t>Consolidated Statements of Operations for the years ended December 31, 2025 and 2024</w:t>
              </w:r>
            </w:hyperlink>
          </w:p>
        </w:tc>
        <w:tc>
          <w:tcPr>
            <w:tcW w:w="575" w:type="dxa"/>
            <w:tcBorders/>
            <w:shd w:fill="CCEEFF" w:val="clear"/>
            <w:vAlign w:val="center"/>
          </w:tcPr>
          <w:p>
            <w:pPr>
              <w:pStyle w:val="TableContents"/>
              <w:bidi w:val="0"/>
              <w:spacing w:before="0" w:after="283"/>
              <w:jc w:val="right"/>
              <w:rPr/>
            </w:pPr>
            <w:r>
              <w:rPr/>
              <w:t>30</w:t>
            </w:r>
          </w:p>
        </w:tc>
      </w:tr>
      <w:tr>
        <w:trPr/>
        <w:tc>
          <w:tcPr>
            <w:tcW w:w="9630" w:type="dxa"/>
            <w:tcBorders/>
            <w:vAlign w:val="center"/>
          </w:tcPr>
          <w:p>
            <w:pPr>
              <w:pStyle w:val="TableContents"/>
              <w:bidi w:val="0"/>
              <w:spacing w:before="0" w:after="0"/>
              <w:jc w:val="left"/>
              <w:rPr/>
            </w:pPr>
            <w:hyperlink w:anchor="COMPREHENSIVEINCOME">
              <w:r>
                <w:rPr>
                  <w:rStyle w:val="InternetLink"/>
                </w:rPr>
                <w:t>Consolidated Statements of Comprehensive Income for the years ended December 31, 2025 and 2024</w:t>
              </w:r>
            </w:hyperlink>
          </w:p>
        </w:tc>
        <w:tc>
          <w:tcPr>
            <w:tcW w:w="575" w:type="dxa"/>
            <w:tcBorders/>
            <w:vAlign w:val="center"/>
          </w:tcPr>
          <w:p>
            <w:pPr>
              <w:pStyle w:val="TableContents"/>
              <w:bidi w:val="0"/>
              <w:spacing w:before="0" w:after="283"/>
              <w:jc w:val="right"/>
              <w:rPr/>
            </w:pPr>
            <w:r>
              <w:rPr/>
              <w:t>31</w:t>
            </w:r>
          </w:p>
        </w:tc>
      </w:tr>
      <w:tr>
        <w:trPr/>
        <w:tc>
          <w:tcPr>
            <w:tcW w:w="9630" w:type="dxa"/>
            <w:tcBorders/>
            <w:shd w:fill="CCEEFF" w:val="clear"/>
            <w:vAlign w:val="center"/>
          </w:tcPr>
          <w:p>
            <w:pPr>
              <w:pStyle w:val="TableContents"/>
              <w:bidi w:val="0"/>
              <w:spacing w:before="0" w:after="0"/>
              <w:jc w:val="left"/>
              <w:rPr/>
            </w:pPr>
            <w:hyperlink w:anchor="SHAREHOLDERSEQUITY">
              <w:r>
                <w:rPr>
                  <w:rStyle w:val="InternetLink"/>
                </w:rPr>
                <w:t>Consolidated Statements of Shareholders’ Equity for the years ended December 31, 2025 and 2024</w:t>
              </w:r>
            </w:hyperlink>
          </w:p>
        </w:tc>
        <w:tc>
          <w:tcPr>
            <w:tcW w:w="575" w:type="dxa"/>
            <w:tcBorders/>
            <w:shd w:fill="CCEEFF" w:val="clear"/>
            <w:vAlign w:val="center"/>
          </w:tcPr>
          <w:p>
            <w:pPr>
              <w:pStyle w:val="TableContents"/>
              <w:bidi w:val="0"/>
              <w:spacing w:before="0" w:after="0"/>
              <w:jc w:val="right"/>
              <w:rPr/>
            </w:pPr>
            <w:r>
              <w:rPr/>
              <w:t>32</w:t>
            </w:r>
          </w:p>
        </w:tc>
      </w:tr>
      <w:tr>
        <w:trPr/>
        <w:tc>
          <w:tcPr>
            <w:tcW w:w="9630" w:type="dxa"/>
            <w:tcBorders/>
            <w:vAlign w:val="center"/>
          </w:tcPr>
          <w:p>
            <w:pPr>
              <w:pStyle w:val="TableContents"/>
              <w:bidi w:val="0"/>
              <w:spacing w:before="0" w:after="0"/>
              <w:jc w:val="left"/>
              <w:rPr/>
            </w:pPr>
            <w:hyperlink w:anchor="CASHFLOWS">
              <w:r>
                <w:rPr>
                  <w:rStyle w:val="InternetLink"/>
                </w:rPr>
                <w:t>Consolidated Statements of Cash Flows for the years ended December 31, 2025 and 2024</w:t>
              </w:r>
            </w:hyperlink>
          </w:p>
        </w:tc>
        <w:tc>
          <w:tcPr>
            <w:tcW w:w="575" w:type="dxa"/>
            <w:tcBorders/>
            <w:vAlign w:val="center"/>
          </w:tcPr>
          <w:p>
            <w:pPr>
              <w:pStyle w:val="TableContents"/>
              <w:bidi w:val="0"/>
              <w:spacing w:before="0" w:after="283"/>
              <w:jc w:val="right"/>
              <w:rPr/>
            </w:pPr>
            <w:r>
              <w:rPr/>
              <w:t>33</w:t>
            </w:r>
          </w:p>
        </w:tc>
      </w:tr>
      <w:tr>
        <w:trPr/>
        <w:tc>
          <w:tcPr>
            <w:tcW w:w="9630" w:type="dxa"/>
            <w:tcBorders/>
            <w:shd w:fill="CCEEFF" w:val="clear"/>
            <w:vAlign w:val="center"/>
          </w:tcPr>
          <w:p>
            <w:pPr>
              <w:pStyle w:val="TableContents"/>
              <w:bidi w:val="0"/>
              <w:spacing w:before="0" w:after="0"/>
              <w:jc w:val="left"/>
              <w:rPr/>
            </w:pPr>
            <w:hyperlink w:anchor="NOTESTO">
              <w:r>
                <w:rPr>
                  <w:rStyle w:val="InternetLink"/>
                </w:rPr>
                <w:t>Notes to Consolidated Financial Statements</w:t>
              </w:r>
            </w:hyperlink>
          </w:p>
        </w:tc>
        <w:tc>
          <w:tcPr>
            <w:tcW w:w="575" w:type="dxa"/>
            <w:tcBorders/>
            <w:shd w:fill="CCEEFF" w:val="clear"/>
            <w:vAlign w:val="center"/>
          </w:tcPr>
          <w:p>
            <w:pPr>
              <w:pStyle w:val="TableContents"/>
              <w:bidi w:val="0"/>
              <w:spacing w:before="0" w:after="283"/>
              <w:jc w:val="right"/>
              <w:rPr/>
            </w:pPr>
            <w:r>
              <w:rPr/>
              <w:t>34</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hanging="0"/>
        <w:jc w:val="center"/>
        <w:rPr/>
      </w:pPr>
      <w:r>
        <w:rPr/>
        <w:drawing>
          <wp:inline distT="0" distB="0" distL="0" distR="0">
            <wp:extent cx="41021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02100" cy="60960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sz w:val="20"/>
        </w:rPr>
      </w:pPr>
      <w:bookmarkStart w:id="129" w:name="Report_of_Independent_Registered_Public_"/>
      <w:bookmarkEnd w:id="129"/>
      <w:r>
        <w:rPr>
          <w:rFonts w:ascii="TimesNewRoman;Times New Roman;Times;Baskerville;Georgia;serif" w:hAnsi="TimesNewRoman;Times New Roman;Times;Baskerville;Georgia;serif"/>
          <w:b/>
          <w:sz w:val="20"/>
        </w:rPr>
        <w:t>Report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Shareholders and Board of Directors</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Atlantic American Corporation</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Atlanta, Georgia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Opinion on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have audited the accompanying consolidated balance sheets of Atlantic American Corporation (the “Company”) as of December 31, 2025 and 2024, the related consolidated statements of operations, comprehensive income, shareholders’ equity, and cash flows for each of the years in the two-year period ended December 31, 2025, and the related notes and schedules II (Condensed Financial Information of Registrant), III (Supplementary Insurance Information), IV (Reinsurance Information) and VI (Supplemental Information Concerning Property-Casualty Insurance Operations) (collectively referred to as the “consolidated financial statements”). In our opinion, the consolidated financial statements referred to above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 (“US GAAP”).</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Change in Accounting Principle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discussed in Note 1 to the consolidated financial statements, the Company changed its method of accounting and presentation related to long-duration contracts and certain related balances effective January 1, 2025, with a transition date of January 1, 2024 due to the adoption of Accounting Standards Update No. 2018-12, </w:t>
      </w:r>
      <w:r>
        <w:rPr>
          <w:rFonts w:ascii="TimesNewRoman;Times New Roman;Times;Baskerville;Georgia;serif" w:hAnsi="TimesNewRoman;Times New Roman;Times;Baskerville;Georgia;serif"/>
          <w:i/>
          <w:sz w:val="20"/>
        </w:rPr>
        <w:t xml:space="preserve">Financial Services – Insurance (Topic 944): Targeted Improvements to the Accounting for Long-Duration Contracts, as amended </w:t>
      </w:r>
      <w:r>
        <w:rPr>
          <w:rFonts w:ascii="TimesNewRoman;Times New Roman;Times;Baskerville;Georgia;serif" w:hAnsi="TimesNewRoman;Times New Roman;Times;Baskerville;Georgia;serif"/>
          <w:sz w:val="20"/>
        </w:rPr>
        <w:t>(“ASU 2018-12”).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Basis for Opinion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These consolidated financial statements are the responsibility of the Company’s management. Our responsibility is to express an opinion on the Company’s consolidated financial statements based on our audits.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Shareholders and Board of Directors</w:t>
      </w:r>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Atlantic American Corporation</w:t>
      </w:r>
    </w:p>
    <w:p>
      <w:pPr>
        <w:pStyle w:val="TextBody"/>
        <w:bidi w:val="0"/>
        <w:spacing w:before="0" w:after="0"/>
        <w:jc w:val="left"/>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Critical Audit Matters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critical audit matters communicated below are matters arising from the current-period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Valuation of Insurance Reserves for Losses and Claims (Claim Reserves)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As reflected on the consolidated balance sheet and discussed in Note 8 to the consolidated financial statements, the Company’s insurance reserves for losses and claims (“claim reserves”), were $113.8 million as of December 31, 2025. The Company’s claim reserves relate primarily to its property casualty lines of business and Medicare supplement business. The process of establishing claim reserves requires the use of estimates and judgments based on circumstances underlying the insured loss at the date of accrual. Management’s judgments include claims adjusters’ evaluations for unpaid claims reported prior to the close of the accounting period, estimates of incurred but not reported (“IBNR”) claims based on past experience and estimates of loss adjustment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principal considerations for our determination that the valuation of claim reserves is a critical audit matter are the high degree of judgment and subjectivity in auditing the actuarial methods and assumptions used in the valuation process, including assumptions around expected loss ratios and reported and paid loss emergence patterns.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Addressing the matter involved performing the following audit procedures, among others:</w:t>
      </w:r>
    </w:p>
    <w:p>
      <w:pPr>
        <w:pStyle w:val="TextBody"/>
        <w:bidi w:val="0"/>
        <w:spacing w:before="0" w:after="0"/>
        <w:ind w:left="0" w:right="0" w:hanging="0"/>
        <w:jc w:val="both"/>
        <w:rPr/>
      </w:pPr>
      <w:r>
        <w:rPr/>
        <w:t>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Involving our actuarial specialists to assist in our procedures in: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the appropriateness of management’s actuarial reserving methodologies and assumptions;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management’s hindsight analyses;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240"/>
        <w:ind w:left="108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 </w:t>
      </w:r>
    </w:p>
    <w:p>
      <w:pPr>
        <w:pStyle w:val="TextBody"/>
        <w:bidi w:val="0"/>
        <w:spacing w:before="0" w:after="24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Comparing management’s carried reserve to the range calculated by management’s specialist for property casualty claim reserves;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Testing the completeness and accuracy of data provided by management that served as the basis for the actuarial analyses on a sample basis; and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the movement of the Company’s recorded property casualty claim reserves within the Company’s estimated reserve range year over year.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Valuation of Insurance Reserves for Future Policy Benefits (Policy Reserves)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As reflected on the consolidated balance sheet and discussed in Notes 1 and 7 to the consolidated financial statements, the Company’s insurance reserves for future policy benefits (“policy reserves”) were $84.7 million as of December 31, 2025. The Company adopted ASU 2018-12, effective January 1, 2025 with a transition date of January 1, 2024 (See Change in Accounting Principle explanatory paragraph above). As part of the adoption, policy reserves were remeasured using the modified retrospective transition method. Policy reserves are related to long-duration life and health insurance policies and are based upon significant management assumptions including mortality, morbidity, policyholder lapses and other termination rates, claim costs, loss ratios, anticipated premium-rate increases, discount rates and expenses. These assumptions are based on historical experience modified as necessary to reflect anticipated trends and are established at contract inception and updated at least annually.</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Shareholders and Board of Directors</w:t>
      </w:r>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Atlantic American Corporation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principal considerations for our determination that the valuation of policy reserves is a critical audit matter are the high degree of judgment and involvement of actuarial specialists required to assess certain assumptions that impact reserves for future policy benefits, the complexity of the underling actuarial calculations and the judgment and complexity of adopting ASU 2018-12 in the current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Addressing the matter involved performing the following audit procedures, among others:</w:t>
      </w:r>
    </w:p>
    <w:p>
      <w:pPr>
        <w:pStyle w:val="TextBody"/>
        <w:bidi w:val="0"/>
        <w:spacing w:before="0" w:after="0"/>
        <w:ind w:left="0" w:right="0" w:hanging="0"/>
        <w:jc w:val="both"/>
        <w:rPr/>
      </w:pPr>
      <w:r>
        <w:rPr/>
        <w:t>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Involving our actuarial specialists to assist in our procedures in: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whether the methodology applied by management is consistent in the aggregate with the methodology compliant with US GAAP;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Assessing the significant assumptions used by management for new insurance contracts issued during the current year by comparing the significant assumptions noted above to historical experience, observable market data or management’s estimates of prospective changes to these assumptions; and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whether significant assumptions were applied in the valuation model as intended on a sample basis.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Testing the completeness and accuracy of data used by management in developing the valuation and evaluating the valuation on a sample basis.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Reviewing the adequacy of the Company’s disclosures related to the transition impact as well as the ongoing disclosure requirements under ASU 2018-12.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 Forvis Mazars, LLP</w:t>
      </w:r>
    </w:p>
    <w:p>
      <w:pPr>
        <w:pStyle w:val="TextBody"/>
        <w:bidi w:val="0"/>
        <w:spacing w:before="0" w:after="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have served as the Company’s auditor since 2018.</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Atlanta, Georgia</w:t>
      </w:r>
    </w:p>
    <w:p>
      <w:pPr>
        <w:pStyle w:val="TextBody"/>
        <w:bidi w:val="0"/>
        <w:spacing w:before="0" w:after="0"/>
        <w:ind w:left="0" w:right="0" w:hanging="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October 16, 2026</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ATLANTIC AMERICAN CORPORATION</w:t>
      </w:r>
    </w:p>
    <w:p>
      <w:pPr>
        <w:pStyle w:val="TextBody"/>
        <w:bidi w:val="0"/>
        <w:spacing w:before="0" w:after="0"/>
        <w:jc w:val="center"/>
        <w:rPr>
          <w:rFonts w:ascii="Times New Roman" w:hAnsi="Times New Roman"/>
          <w:b/>
          <w:sz w:val="20"/>
        </w:rPr>
      </w:pPr>
      <w:bookmarkStart w:id="130" w:name="CONSOLIDATEDBALANCESHEETS"/>
      <w:bookmarkEnd w:id="130"/>
      <w:r>
        <w:rPr>
          <w:rFonts w:ascii="Times New Roman" w:hAnsi="Times New Roman"/>
          <w:b/>
          <w:sz w:val="20"/>
        </w:rPr>
        <w:t>CONSOLIDATED BALANCE SHEETS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1" w:name="zcdffd637d7c149a9b838c0028327faef"/>
      <w:bookmarkStart w:id="132" w:name="zcdffd637d7c149a9b838c0028327faef"/>
      <w:bookmarkEnd w:id="132"/>
    </w:p>
    <w:tbl>
      <w:tblPr>
        <w:tblW w:w="10205" w:type="dxa"/>
        <w:jc w:val="left"/>
        <w:tblInd w:w="0" w:type="dxa"/>
        <w:tblLayout w:type="fixed"/>
        <w:tblCellMar>
          <w:top w:w="0" w:type="dxa"/>
          <w:left w:w="0" w:type="dxa"/>
          <w:bottom w:w="0" w:type="dxa"/>
          <w:right w:w="0" w:type="dxa"/>
        </w:tblCellMar>
      </w:tblPr>
      <w:tblGrid>
        <w:gridCol w:w="6804"/>
        <w:gridCol w:w="90"/>
        <w:gridCol w:w="240"/>
        <w:gridCol w:w="1174"/>
        <w:gridCol w:w="176"/>
        <w:gridCol w:w="127"/>
        <w:gridCol w:w="241"/>
        <w:gridCol w:w="1180"/>
        <w:gridCol w:w="173"/>
      </w:tblGrid>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8"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0"/>
              <w:jc w:val="center"/>
              <w:rPr/>
            </w:pPr>
            <w:r>
              <w:rPr/>
              <w:t>(Restated)</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8" w:type="dxa"/>
            <w:gridSpan w:val="6"/>
            <w:tcBorders/>
            <w:vAlign w:val="bottom"/>
          </w:tcPr>
          <w:p>
            <w:pPr>
              <w:pStyle w:val="TableContents"/>
              <w:bidi w:val="0"/>
              <w:spacing w:before="0" w:after="0"/>
              <w:jc w:val="center"/>
              <w:rPr>
                <w:b/>
              </w:rPr>
            </w:pPr>
            <w:r>
              <w:rPr>
                <w:b/>
              </w:rPr>
              <w:t>(In thousands, except share and per share data)</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jc w:val="center"/>
              <w:rPr>
                <w:b/>
              </w:rPr>
            </w:pPr>
            <w:r>
              <w:rPr>
                <w:b/>
              </w:rPr>
              <w:t>ASSETS</w:t>
            </w:r>
          </w:p>
        </w:tc>
        <w:tc>
          <w:tcPr>
            <w:tcW w:w="9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Cash and cash equivalents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174" w:type="dxa"/>
            <w:tcBorders/>
            <w:shd w:fill="CCEEFF" w:val="clear"/>
            <w:vAlign w:val="bottom"/>
          </w:tcPr>
          <w:p>
            <w:pPr>
              <w:pStyle w:val="TableContents"/>
              <w:bidi w:val="0"/>
              <w:spacing w:before="0" w:after="0"/>
              <w:jc w:val="right"/>
              <w:rPr/>
            </w:pPr>
            <w:r>
              <w:rPr/>
              <w:t>43,636</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pPr>
            <w:r>
              <w:rPr/>
              <w:t>$</w:t>
            </w:r>
          </w:p>
        </w:tc>
        <w:tc>
          <w:tcPr>
            <w:tcW w:w="1180" w:type="dxa"/>
            <w:tcBorders/>
            <w:shd w:fill="CCEEFF" w:val="clear"/>
            <w:vAlign w:val="bottom"/>
          </w:tcPr>
          <w:p>
            <w:pPr>
              <w:pStyle w:val="TableContents"/>
              <w:bidi w:val="0"/>
              <w:spacing w:before="0" w:after="0"/>
              <w:jc w:val="right"/>
              <w:rPr/>
            </w:pPr>
            <w:r>
              <w:rPr/>
              <w:t>35,570</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Investments: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0"/>
              <w:jc w:val="left"/>
              <w:rPr/>
            </w:pPr>
            <w:r>
              <w:rPr/>
              <w:t>Fixed maturities, available-for-sale, at fair value (amortized cost: $260,225 and $236,299; no allowance for credit losses)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244,111</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212,612</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Equity securities, at fair value (cost: $4,943 and $4,939)</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12,395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7,900</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Other invested assets (cost: $7,946 and $7,946)</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6,037</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6,616</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Policy loans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1,683</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1,722</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Real estate</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38</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38</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Investment in unconsolidated trusts (cost: $1,238 and $1,238)</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1,238</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1,238</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investments</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bidi w:val="0"/>
              <w:spacing w:before="0" w:after="0"/>
              <w:jc w:val="right"/>
              <w:rPr/>
            </w:pPr>
            <w:r>
              <w:rPr/>
              <w:t>265,502</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230,126</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Receivables: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Reinsurance (net of allowance for uncollectible reinsurance of $58 and $73)</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25,539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22,881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Insurance premiums and other (net of allowance for expected credit losses $189 and $201)</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26,956</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21,878</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Deferred income taxes, net</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15,044</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15,970</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Deferred acquisition costs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42,318</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41,244</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Other assets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12,398</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11,826</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Intangibles</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2,544</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2,544</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assets</w:t>
            </w:r>
          </w:p>
        </w:tc>
        <w:tc>
          <w:tcPr>
            <w:tcW w:w="90" w:type="dxa"/>
            <w:tcBorders/>
            <w:shd w:fill="CCEEFF" w:val="clear"/>
            <w:vAlign w:val="bottom"/>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74" w:type="dxa"/>
            <w:tcBorders>
              <w:bottom w:val="double" w:sz="8" w:space="0" w:color="000000"/>
            </w:tcBorders>
            <w:shd w:fill="CCEEFF" w:val="clear"/>
            <w:tcMar>
              <w:bottom w:w="28" w:type="dxa"/>
            </w:tcMar>
            <w:vAlign w:val="bottom"/>
          </w:tcPr>
          <w:p>
            <w:pPr>
              <w:pStyle w:val="TableContents"/>
              <w:bidi w:val="0"/>
              <w:spacing w:before="0" w:after="0"/>
              <w:jc w:val="right"/>
              <w:rPr/>
            </w:pPr>
            <w:r>
              <w:rPr/>
              <w:t>433,937</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80" w:type="dxa"/>
            <w:tcBorders>
              <w:bottom w:val="double" w:sz="8" w:space="0" w:color="000000"/>
            </w:tcBorders>
            <w:shd w:fill="CCEEFF" w:val="clear"/>
            <w:tcMar>
              <w:bottom w:w="28" w:type="dxa"/>
            </w:tcMar>
            <w:vAlign w:val="bottom"/>
          </w:tcPr>
          <w:p>
            <w:pPr>
              <w:pStyle w:val="TableContents"/>
              <w:bidi w:val="0"/>
              <w:spacing w:before="0" w:after="0"/>
              <w:jc w:val="right"/>
              <w:rPr/>
            </w:pPr>
            <w:r>
              <w:rPr/>
              <w:t>382,039</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jc w:val="center"/>
              <w:rPr>
                <w:b/>
              </w:rPr>
            </w:pPr>
            <w:r>
              <w:rPr>
                <w:b/>
              </w:rPr>
              <w:t>LIABILITIES AND SHAREHOLDERS’ EQUITY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Insurance reserves and policyholder funds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Future policy benefits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174" w:type="dxa"/>
            <w:tcBorders/>
            <w:shd w:fill="CCEEFF" w:val="clear"/>
            <w:vAlign w:val="bottom"/>
          </w:tcPr>
          <w:p>
            <w:pPr>
              <w:pStyle w:val="TableContents"/>
              <w:bidi w:val="0"/>
              <w:spacing w:before="0" w:after="0"/>
              <w:jc w:val="right"/>
              <w:rPr/>
            </w:pPr>
            <w:r>
              <w:rPr/>
              <w:t>84,719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pPr>
            <w:r>
              <w:rPr/>
              <w:t>$</w:t>
            </w:r>
          </w:p>
        </w:tc>
        <w:tc>
          <w:tcPr>
            <w:tcW w:w="1180" w:type="dxa"/>
            <w:tcBorders/>
            <w:shd w:fill="CCEEFF" w:val="clear"/>
            <w:vAlign w:val="bottom"/>
          </w:tcPr>
          <w:p>
            <w:pPr>
              <w:pStyle w:val="TableContents"/>
              <w:bidi w:val="0"/>
              <w:spacing w:before="0" w:after="0"/>
              <w:jc w:val="right"/>
              <w:rPr/>
            </w:pPr>
            <w:r>
              <w:rPr/>
              <w:t>76,881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Unearned premiums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34,737</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28,845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Losses and claims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113,836</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93,707</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Other policy liabilities</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7,573</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6,249</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insurance reserves and policyholder funds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240,865</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205,682</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Accounts payable and accrued expenses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33,525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28,025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Revolving credit facility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5,021</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4,023</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Junior subordinated debenture obligations, net</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33,738</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33,738</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liabilities</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bidi w:val="0"/>
              <w:spacing w:before="0" w:after="0"/>
              <w:jc w:val="right"/>
              <w:rPr/>
            </w:pPr>
            <w:r>
              <w:rPr/>
              <w:t>313,149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271,468</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Commitments and contingencies (Note 19)</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Shareholders’ equity: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Preferred stock, $1 par, 4,000,000 shares authorized; Series D preferred, 55,000 shares issued and outstanding; $5,500 redemption value</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55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55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Common stock, $1 par, 50,000,000 shares authorized; 22,400,894 shares issued; $20,397,228 and 20,399,758 shares outstanding as of 2025 and 2024, respectively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22,401</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22,401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Additional paid-in capital</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57,425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57,425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Retained earnings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48,709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43,499</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Accumulated other comprehensive loss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(390</w:t>
            </w:r>
          </w:p>
        </w:tc>
        <w:tc>
          <w:tcPr>
            <w:tcW w:w="176" w:type="dxa"/>
            <w:tcBorders/>
            <w:vAlign w:val="bottom"/>
          </w:tcPr>
          <w:p>
            <w:pPr>
              <w:pStyle w:val="TableContents"/>
              <w:bidi w:val="0"/>
              <w:spacing w:before="0" w:after="0"/>
              <w:jc w:val="left"/>
              <w:rPr/>
            </w:pPr>
            <w:r>
              <w:rPr/>
              <w:t>)</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(5,399</w:t>
            </w:r>
          </w:p>
        </w:tc>
        <w:tc>
          <w:tcPr>
            <w:tcW w:w="173" w:type="dxa"/>
            <w:tcBorders/>
            <w:vAlign w:val="bottom"/>
          </w:tcPr>
          <w:p>
            <w:pPr>
              <w:pStyle w:val="TableContents"/>
              <w:bidi w:val="0"/>
              <w:spacing w:before="0" w:after="0"/>
              <w:jc w:val="left"/>
              <w:rPr/>
            </w:pPr>
            <w:r>
              <w:rPr/>
              <w:t>)</w:t>
            </w:r>
          </w:p>
        </w:tc>
      </w:tr>
      <w:tr>
        <w:trPr/>
        <w:tc>
          <w:tcPr>
            <w:tcW w:w="6804" w:type="dxa"/>
            <w:tcBorders/>
            <w:shd w:fill="CCEEFF" w:val="clear"/>
            <w:vAlign w:val="bottom"/>
          </w:tcPr>
          <w:p>
            <w:pPr>
              <w:pStyle w:val="TableContents"/>
              <w:bidi w:val="0"/>
              <w:spacing w:before="0" w:after="0"/>
              <w:ind w:left="180" w:right="0" w:hanging="180"/>
              <w:jc w:val="left"/>
              <w:rPr/>
            </w:pPr>
            <w:r>
              <w:rPr/>
              <w:t>Unearned stock grant compensation</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w:t>
            </w:r>
          </w:p>
        </w:tc>
        <w:tc>
          <w:tcPr>
            <w:tcW w:w="173" w:type="dxa"/>
            <w:tcBorders/>
            <w:shd w:fill="CCEEFF" w:val="clear"/>
            <w:vAlign w:val="bottom"/>
          </w:tcPr>
          <w:p>
            <w:pPr>
              <w:pStyle w:val="TableContents"/>
              <w:bidi w:val="0"/>
              <w:spacing w:before="0" w:after="0"/>
              <w:jc w:val="left"/>
              <w:rPr/>
            </w:pPr>
            <w:r>
              <w:rPr/>
              <w:t>)</w:t>
            </w:r>
          </w:p>
        </w:tc>
      </w:tr>
      <w:tr>
        <w:trPr/>
        <w:tc>
          <w:tcPr>
            <w:tcW w:w="6804" w:type="dxa"/>
            <w:tcBorders/>
            <w:vAlign w:val="bottom"/>
          </w:tcPr>
          <w:p>
            <w:pPr>
              <w:pStyle w:val="TableContents"/>
              <w:bidi w:val="0"/>
              <w:spacing w:before="0" w:after="0"/>
              <w:ind w:left="180" w:right="0" w:hanging="180"/>
              <w:jc w:val="left"/>
              <w:rPr/>
            </w:pPr>
            <w:r>
              <w:rPr/>
              <w:t>Treasury stock, at cost, 2,003,666 and 2,001,136 shares as of 2025 and 2024, respectively</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(7,412</w:t>
            </w:r>
          </w:p>
        </w:tc>
        <w:tc>
          <w:tcPr>
            <w:tcW w:w="176" w:type="dxa"/>
            <w:tcBorders/>
            <w:vAlign w:val="bottom"/>
          </w:tcPr>
          <w:p>
            <w:pPr>
              <w:pStyle w:val="TableContents"/>
              <w:bidi w:val="0"/>
              <w:spacing w:before="0" w:after="0"/>
              <w:jc w:val="left"/>
              <w:rPr/>
            </w:pPr>
            <w:r>
              <w:rPr/>
              <w:t>)</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(7,408</w:t>
            </w:r>
          </w:p>
        </w:tc>
        <w:tc>
          <w:tcPr>
            <w:tcW w:w="173" w:type="dxa"/>
            <w:tcBorders/>
            <w:vAlign w:val="bottom"/>
          </w:tcPr>
          <w:p>
            <w:pPr>
              <w:pStyle w:val="TableContents"/>
              <w:bidi w:val="0"/>
              <w:spacing w:before="0" w:after="0"/>
              <w:jc w:val="left"/>
              <w:rPr/>
            </w:pPr>
            <w:r>
              <w:rPr/>
              <w:t>)</w:t>
            </w:r>
          </w:p>
        </w:tc>
      </w:tr>
      <w:tr>
        <w:trPr/>
        <w:tc>
          <w:tcPr>
            <w:tcW w:w="6804" w:type="dxa"/>
            <w:tcBorders/>
            <w:shd w:fill="CCEEFF" w:val="clear"/>
            <w:vAlign w:val="bottom"/>
          </w:tcPr>
          <w:p>
            <w:pPr>
              <w:pStyle w:val="TableContents"/>
              <w:bidi w:val="0"/>
              <w:spacing w:before="0" w:after="0"/>
              <w:ind w:left="360" w:right="0" w:hanging="180"/>
              <w:jc w:val="left"/>
              <w:rPr/>
            </w:pPr>
            <w:r>
              <w:rPr/>
              <w:t>Total shareholders’ equity</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bidi w:val="0"/>
              <w:spacing w:before="0" w:after="0"/>
              <w:jc w:val="right"/>
              <w:rPr/>
            </w:pPr>
            <w:r>
              <w:rPr/>
              <w:t>120,788</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110,571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540" w:right="0" w:hanging="180"/>
              <w:jc w:val="left"/>
              <w:rPr/>
            </w:pPr>
            <w:r>
              <w:rPr/>
              <w:t>Total liabilities and shareholders’ equity</w:t>
            </w:r>
          </w:p>
        </w:tc>
        <w:tc>
          <w:tcPr>
            <w:tcW w:w="90" w:type="dxa"/>
            <w:tcBorders/>
            <w:vAlign w:val="bottom"/>
          </w:tcPr>
          <w:p>
            <w:pPr>
              <w:pStyle w:val="TableContents"/>
              <w:bidi w:val="0"/>
              <w:spacing w:before="0" w:after="283"/>
              <w:jc w:val="lef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174" w:type="dxa"/>
            <w:tcBorders>
              <w:bottom w:val="double" w:sz="8" w:space="0" w:color="000000"/>
            </w:tcBorders>
            <w:tcMar>
              <w:bottom w:w="28" w:type="dxa"/>
            </w:tcMar>
            <w:vAlign w:val="bottom"/>
          </w:tcPr>
          <w:p>
            <w:pPr>
              <w:pStyle w:val="TableContents"/>
              <w:bidi w:val="0"/>
              <w:spacing w:before="0" w:after="0"/>
              <w:jc w:val="right"/>
              <w:rPr/>
            </w:pPr>
            <w:r>
              <w:rPr/>
              <w:t>433,937</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pPr>
            <w:r>
              <w:rPr/>
              <w:t>$</w:t>
            </w:r>
          </w:p>
        </w:tc>
        <w:tc>
          <w:tcPr>
            <w:tcW w:w="1180" w:type="dxa"/>
            <w:tcBorders>
              <w:bottom w:val="double" w:sz="8" w:space="0" w:color="000000"/>
            </w:tcBorders>
            <w:tcMar>
              <w:bottom w:w="28" w:type="dxa"/>
            </w:tcMar>
            <w:vAlign w:val="bottom"/>
          </w:tcPr>
          <w:p>
            <w:pPr>
              <w:pStyle w:val="TableContents"/>
              <w:bidi w:val="0"/>
              <w:spacing w:before="0" w:after="0"/>
              <w:jc w:val="right"/>
              <w:rPr/>
            </w:pPr>
            <w:r>
              <w:rPr/>
              <w:t>382,039</w:t>
            </w:r>
          </w:p>
        </w:tc>
        <w:tc>
          <w:tcPr>
            <w:tcW w:w="17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w:t>
      </w:r>
      <w:bookmarkStart w:id="133" w:name="STATEMENTSOFOPERATIONS"/>
      <w:bookmarkEnd w:id="133"/>
      <w:r>
        <w:rPr>
          <w:rFonts w:ascii="Times New Roman" w:hAnsi="Times New Roman"/>
          <w:b/>
          <w:sz w:val="20"/>
        </w:rPr>
        <w:t>STATEMENTS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4" w:name="z093e8f38cf0648189666355c0656b756"/>
      <w:bookmarkStart w:id="135" w:name="z093e8f38cf0648189666355c0656b756"/>
      <w:bookmarkEnd w:id="135"/>
    </w:p>
    <w:tbl>
      <w:tblPr>
        <w:tblW w:w="10205" w:type="dxa"/>
        <w:jc w:val="left"/>
        <w:tblInd w:w="0" w:type="dxa"/>
        <w:tblLayout w:type="fixed"/>
        <w:tblCellMar>
          <w:top w:w="0" w:type="dxa"/>
          <w:left w:w="0" w:type="dxa"/>
          <w:bottom w:w="0" w:type="dxa"/>
          <w:right w:w="0" w:type="dxa"/>
        </w:tblCellMar>
      </w:tblPr>
      <w:tblGrid>
        <w:gridCol w:w="5088"/>
        <w:gridCol w:w="90"/>
        <w:gridCol w:w="372"/>
        <w:gridCol w:w="1820"/>
        <w:gridCol w:w="272"/>
        <w:gridCol w:w="197"/>
        <w:gridCol w:w="372"/>
        <w:gridCol w:w="1820"/>
        <w:gridCol w:w="174"/>
      </w:tblGrid>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53"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0"/>
              <w:jc w:val="center"/>
              <w:rPr/>
            </w:pPr>
            <w:r>
              <w:rPr/>
              <w:t>(Restated)</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53" w:type="dxa"/>
            <w:gridSpan w:val="6"/>
            <w:tcBorders/>
            <w:vAlign w:val="bottom"/>
          </w:tcPr>
          <w:p>
            <w:pPr>
              <w:pStyle w:val="TableContents"/>
              <w:bidi w:val="0"/>
              <w:spacing w:before="0" w:after="0"/>
              <w:jc w:val="center"/>
              <w:rPr>
                <w:b/>
              </w:rPr>
            </w:pPr>
            <w:r>
              <w:rPr>
                <w:b/>
              </w:rPr>
              <w:t>(In thousands, except share and per share data)</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180" w:right="0" w:hanging="180"/>
              <w:jc w:val="left"/>
              <w:rPr/>
            </w:pPr>
            <w:r>
              <w:rPr/>
              <w:t>Revenue:</w:t>
            </w:r>
          </w:p>
        </w:tc>
        <w:tc>
          <w:tcPr>
            <w:tcW w:w="90"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Insurance premiums, net</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0"/>
              <w:jc w:val="left"/>
              <w:rPr/>
            </w:pPr>
            <w:r>
              <w:rPr/>
              <w:t>$</w:t>
            </w:r>
          </w:p>
        </w:tc>
        <w:tc>
          <w:tcPr>
            <w:tcW w:w="1820" w:type="dxa"/>
            <w:tcBorders/>
            <w:shd w:fill="CCEEFF" w:val="clear"/>
            <w:vAlign w:val="bottom"/>
          </w:tcPr>
          <w:p>
            <w:pPr>
              <w:pStyle w:val="TableContents"/>
              <w:bidi w:val="0"/>
              <w:spacing w:before="0" w:after="0"/>
              <w:jc w:val="right"/>
              <w:rPr/>
            </w:pPr>
            <w:r>
              <w:rPr/>
              <w:t>196,142</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0"/>
              <w:jc w:val="left"/>
              <w:rPr/>
            </w:pPr>
            <w:r>
              <w:rPr/>
              <w:t>$</w:t>
            </w:r>
          </w:p>
        </w:tc>
        <w:tc>
          <w:tcPr>
            <w:tcW w:w="1820" w:type="dxa"/>
            <w:tcBorders/>
            <w:shd w:fill="CCEEFF" w:val="clear"/>
            <w:vAlign w:val="bottom"/>
          </w:tcPr>
          <w:p>
            <w:pPr>
              <w:pStyle w:val="TableContents"/>
              <w:bidi w:val="0"/>
              <w:spacing w:before="0" w:after="0"/>
              <w:jc w:val="right"/>
              <w:rPr/>
            </w:pPr>
            <w:r>
              <w:rPr/>
              <w:t>178,588</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Net investment income</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10,266</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9,791</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Realized investment gains (losses), net</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(471</w:t>
            </w:r>
          </w:p>
        </w:tc>
        <w:tc>
          <w:tcPr>
            <w:tcW w:w="272" w:type="dxa"/>
            <w:tcBorders/>
            <w:shd w:fill="CCEEFF" w:val="clear"/>
            <w:vAlign w:val="bottom"/>
          </w:tcPr>
          <w:p>
            <w:pPr>
              <w:pStyle w:val="TableContents"/>
              <w:bidi w:val="0"/>
              <w:spacing w:before="0" w:after="0"/>
              <w:jc w:val="left"/>
              <w:rPr/>
            </w:pPr>
            <w:r>
              <w:rPr/>
              <w:t>)</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1,210</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Unrealized gains (losses) on equity securities, net</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4,491</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(1,516</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360" w:right="0" w:hanging="180"/>
              <w:jc w:val="left"/>
              <w:rPr/>
            </w:pPr>
            <w:r>
              <w:rPr/>
              <w:t>Other income</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12</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9</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540" w:right="0" w:hanging="180"/>
              <w:jc w:val="left"/>
              <w:rPr/>
            </w:pPr>
            <w:r>
              <w:rPr/>
              <w:t>Total revenue</w:t>
            </w:r>
          </w:p>
        </w:tc>
        <w:tc>
          <w:tcPr>
            <w:tcW w:w="90"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210,440</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188,082</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180" w:right="0" w:hanging="180"/>
              <w:jc w:val="left"/>
              <w:rPr/>
            </w:pPr>
            <w:r>
              <w:rPr/>
              <w:t>Benefits and expenses:</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137,541</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124,078</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Future policy benefits remeasurement gain</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(4,866</w:t>
            </w:r>
          </w:p>
        </w:tc>
        <w:tc>
          <w:tcPr>
            <w:tcW w:w="272" w:type="dxa"/>
            <w:tcBorders/>
            <w:vAlign w:val="bottom"/>
          </w:tcPr>
          <w:p>
            <w:pPr>
              <w:pStyle w:val="TableContents"/>
              <w:bidi w:val="0"/>
              <w:spacing w:before="0" w:after="0"/>
              <w:jc w:val="left"/>
              <w:rPr/>
            </w:pPr>
            <w:r>
              <w:rPr/>
              <w:t>)</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(2,334</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360" w:right="0" w:hanging="180"/>
              <w:jc w:val="left"/>
              <w:rPr/>
            </w:pPr>
            <w:r>
              <w:rPr/>
              <w:t>Commissions and underwriting expenses</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50,473</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48,333</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Interest expense</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3,080</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3,419</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Other expense</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16,491</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16,211</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540" w:right="0" w:hanging="180"/>
              <w:jc w:val="left"/>
              <w:rPr/>
            </w:pPr>
            <w:r>
              <w:rPr/>
              <w:t>Total benefits and expenses</w:t>
            </w:r>
          </w:p>
        </w:tc>
        <w:tc>
          <w:tcPr>
            <w:tcW w:w="90"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202,719</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189,707</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180" w:right="0" w:hanging="180"/>
              <w:jc w:val="left"/>
              <w:rPr/>
            </w:pPr>
            <w:r>
              <w:rPr/>
              <w:t>Income (loss) before income taxes</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7,721</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(1,625</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180" w:right="0" w:hanging="180"/>
              <w:jc w:val="left"/>
              <w:rPr/>
            </w:pPr>
            <w:r>
              <w:rPr/>
              <w:t>Income tax expense (benefit)</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1,704</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(232</w:t>
            </w:r>
          </w:p>
        </w:tc>
        <w:tc>
          <w:tcPr>
            <w:tcW w:w="174" w:type="dxa"/>
            <w:tcBorders/>
            <w:shd w:fill="CCEEFF" w:val="clear"/>
            <w:vAlign w:val="bottom"/>
          </w:tcPr>
          <w:p>
            <w:pPr>
              <w:pStyle w:val="TableContents"/>
              <w:bidi w:val="0"/>
              <w:spacing w:before="0" w:after="0"/>
              <w:jc w:val="left"/>
              <w:rPr/>
            </w:pPr>
            <w:r>
              <w:rPr/>
              <w:t>)</w:t>
            </w:r>
          </w:p>
        </w:tc>
      </w:tr>
      <w:tr>
        <w:trPr/>
        <w:tc>
          <w:tcPr>
            <w:tcW w:w="5088" w:type="dxa"/>
            <w:tcBorders/>
            <w:vAlign w:val="bottom"/>
          </w:tcPr>
          <w:p>
            <w:pPr>
              <w:pStyle w:val="TableContents"/>
              <w:bidi w:val="0"/>
              <w:spacing w:before="0" w:after="0"/>
              <w:ind w:left="180" w:right="0" w:hanging="180"/>
              <w:jc w:val="left"/>
              <w:rPr/>
            </w:pPr>
            <w:r>
              <w:rPr/>
              <w:t>Net income (loss)</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6,017</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(1,393</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180" w:right="0" w:hanging="180"/>
              <w:jc w:val="left"/>
              <w:rPr/>
            </w:pPr>
            <w:r>
              <w:rPr/>
              <w:t>Preferred stock dividends</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(399</w:t>
            </w:r>
          </w:p>
        </w:tc>
        <w:tc>
          <w:tcPr>
            <w:tcW w:w="272" w:type="dxa"/>
            <w:tcBorders/>
            <w:shd w:fill="CCEEFF" w:val="clear"/>
            <w:vAlign w:val="bottom"/>
          </w:tcPr>
          <w:p>
            <w:pPr>
              <w:pStyle w:val="TableContents"/>
              <w:bidi w:val="0"/>
              <w:spacing w:before="0" w:after="0"/>
              <w:jc w:val="left"/>
              <w:rPr/>
            </w:pPr>
            <w:r>
              <w:rPr/>
              <w:t>)</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(399</w:t>
            </w:r>
          </w:p>
        </w:tc>
        <w:tc>
          <w:tcPr>
            <w:tcW w:w="174" w:type="dxa"/>
            <w:tcBorders/>
            <w:shd w:fill="CCEEFF" w:val="clear"/>
            <w:vAlign w:val="bottom"/>
          </w:tcPr>
          <w:p>
            <w:pPr>
              <w:pStyle w:val="TableContents"/>
              <w:bidi w:val="0"/>
              <w:spacing w:before="0" w:after="0"/>
              <w:jc w:val="left"/>
              <w:rPr/>
            </w:pPr>
            <w:r>
              <w:rPr/>
              <w:t>)</w:t>
            </w:r>
          </w:p>
        </w:tc>
      </w:tr>
      <w:tr>
        <w:trPr/>
        <w:tc>
          <w:tcPr>
            <w:tcW w:w="5088" w:type="dxa"/>
            <w:tcBorders/>
            <w:vAlign w:val="bottom"/>
          </w:tcPr>
          <w:p>
            <w:pPr>
              <w:pStyle w:val="TableContents"/>
              <w:bidi w:val="0"/>
              <w:spacing w:before="0" w:after="0"/>
              <w:ind w:left="180" w:right="0" w:hanging="180"/>
              <w:jc w:val="left"/>
              <w:rPr/>
            </w:pPr>
            <w:r>
              <w:rPr/>
              <w:t>Net income (loss) applicable to common shareholders</w:t>
            </w:r>
          </w:p>
        </w:tc>
        <w:tc>
          <w:tcPr>
            <w:tcW w:w="90"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0"/>
              <w:jc w:val="left"/>
              <w:rPr/>
            </w:pPr>
            <w:r>
              <w:rPr/>
              <w:t>$</w:t>
            </w:r>
          </w:p>
        </w:tc>
        <w:tc>
          <w:tcPr>
            <w:tcW w:w="1820" w:type="dxa"/>
            <w:tcBorders>
              <w:bottom w:val="double" w:sz="8" w:space="0" w:color="000000"/>
            </w:tcBorders>
            <w:tcMar>
              <w:bottom w:w="28" w:type="dxa"/>
            </w:tcMar>
            <w:vAlign w:val="bottom"/>
          </w:tcPr>
          <w:p>
            <w:pPr>
              <w:pStyle w:val="TableContents"/>
              <w:bidi w:val="0"/>
              <w:spacing w:before="0" w:after="0"/>
              <w:jc w:val="right"/>
              <w:rPr/>
            </w:pPr>
            <w:r>
              <w:rPr/>
              <w:t>5,618</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0"/>
              <w:jc w:val="left"/>
              <w:rPr/>
            </w:pPr>
            <w:r>
              <w:rPr/>
              <w:t>$</w:t>
            </w:r>
          </w:p>
        </w:tc>
        <w:tc>
          <w:tcPr>
            <w:tcW w:w="1820" w:type="dxa"/>
            <w:tcBorders>
              <w:bottom w:val="double" w:sz="8" w:space="0" w:color="000000"/>
            </w:tcBorders>
            <w:tcMar>
              <w:bottom w:w="28" w:type="dxa"/>
            </w:tcMar>
            <w:vAlign w:val="bottom"/>
          </w:tcPr>
          <w:p>
            <w:pPr>
              <w:pStyle w:val="TableContents"/>
              <w:bidi w:val="0"/>
              <w:spacing w:before="0" w:after="0"/>
              <w:jc w:val="right"/>
              <w:rPr/>
            </w:pPr>
            <w:r>
              <w:rPr/>
              <w:t>(1,792</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540" w:right="0" w:hanging="180"/>
              <w:jc w:val="left"/>
              <w:rPr/>
            </w:pPr>
            <w:r>
              <w:rPr/>
              <w:t>Earnings (loss) per common share (basic)</w:t>
            </w:r>
          </w:p>
        </w:tc>
        <w:tc>
          <w:tcPr>
            <w:tcW w:w="90" w:type="dxa"/>
            <w:tcBorders/>
            <w:shd w:fill="CCEEFF" w:val="clear"/>
            <w:vAlign w:val="bottom"/>
          </w:tcPr>
          <w:p>
            <w:pPr>
              <w:pStyle w:val="TableContents"/>
              <w:bidi w:val="0"/>
              <w:spacing w:before="0" w:after="283"/>
              <w:jc w:val="left"/>
              <w:rPr/>
            </w:pPr>
            <w:r>
              <w:rPr/>
              <w:t> </w:t>
            </w:r>
          </w:p>
        </w:tc>
        <w:tc>
          <w:tcPr>
            <w:tcW w:w="3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shd w:fill="CCEEFF" w:val="clear"/>
            <w:tcMar>
              <w:bottom w:w="28" w:type="dxa"/>
            </w:tcMar>
            <w:vAlign w:val="bottom"/>
          </w:tcPr>
          <w:p>
            <w:pPr>
              <w:pStyle w:val="TableContents"/>
              <w:bidi w:val="0"/>
              <w:spacing w:before="0" w:after="0"/>
              <w:jc w:val="right"/>
              <w:rPr/>
            </w:pPr>
            <w:r>
              <w:rPr/>
              <w:t>0.28</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shd w:fill="CCEEFF" w:val="clear"/>
            <w:tcMar>
              <w:bottom w:w="28" w:type="dxa"/>
            </w:tcMar>
            <w:vAlign w:val="bottom"/>
          </w:tcPr>
          <w:p>
            <w:pPr>
              <w:pStyle w:val="TableContents"/>
              <w:bidi w:val="0"/>
              <w:spacing w:before="0" w:after="0"/>
              <w:jc w:val="right"/>
              <w:rPr/>
            </w:pPr>
            <w:r>
              <w:rPr/>
              <w:t>(0.09</w:t>
            </w:r>
          </w:p>
        </w:tc>
        <w:tc>
          <w:tcPr>
            <w:tcW w:w="174" w:type="dxa"/>
            <w:tcBorders/>
            <w:shd w:fill="CCEEFF" w:val="clear"/>
            <w:vAlign w:val="bottom"/>
          </w:tcPr>
          <w:p>
            <w:pPr>
              <w:pStyle w:val="TableContents"/>
              <w:bidi w:val="0"/>
              <w:spacing w:before="0" w:after="0"/>
              <w:jc w:val="left"/>
              <w:rPr/>
            </w:pPr>
            <w:r>
              <w:rPr/>
              <w:t>)</w:t>
            </w:r>
          </w:p>
        </w:tc>
      </w:tr>
      <w:tr>
        <w:trPr/>
        <w:tc>
          <w:tcPr>
            <w:tcW w:w="5088" w:type="dxa"/>
            <w:tcBorders/>
            <w:vAlign w:val="bottom"/>
          </w:tcPr>
          <w:p>
            <w:pPr>
              <w:pStyle w:val="TableContents"/>
              <w:bidi w:val="0"/>
              <w:spacing w:before="0" w:after="0"/>
              <w:ind w:left="360" w:right="0" w:hanging="0"/>
              <w:jc w:val="left"/>
              <w:rPr/>
            </w:pPr>
            <w:r>
              <w:rPr/>
              <w:t>Earnings (loss) per common share (diluted)</w:t>
            </w:r>
          </w:p>
        </w:tc>
        <w:tc>
          <w:tcPr>
            <w:tcW w:w="90"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tcMar>
              <w:bottom w:w="28" w:type="dxa"/>
            </w:tcMar>
            <w:vAlign w:val="bottom"/>
          </w:tcPr>
          <w:p>
            <w:pPr>
              <w:pStyle w:val="TableContents"/>
              <w:bidi w:val="0"/>
              <w:spacing w:before="0" w:after="0"/>
              <w:jc w:val="right"/>
              <w:rPr/>
            </w:pPr>
            <w:r>
              <w:rPr/>
              <w:t>0.28</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tcMar>
              <w:bottom w:w="28" w:type="dxa"/>
            </w:tcMar>
            <w:vAlign w:val="bottom"/>
          </w:tcPr>
          <w:p>
            <w:pPr>
              <w:pStyle w:val="TableContents"/>
              <w:bidi w:val="0"/>
              <w:spacing w:before="0" w:after="0"/>
              <w:jc w:val="right"/>
              <w:rPr/>
            </w:pPr>
            <w:r>
              <w:rPr/>
              <w:t>(0.09</w:t>
            </w:r>
          </w:p>
        </w:tc>
        <w:tc>
          <w:tcPr>
            <w:tcW w:w="174"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w:t>
      </w:r>
      <w:bookmarkStart w:id="136" w:name="COMPREHENSIVEINCOME"/>
      <w:bookmarkEnd w:id="136"/>
      <w:r>
        <w:rPr>
          <w:rFonts w:ascii="Times New Roman" w:hAnsi="Times New Roman"/>
          <w:b/>
          <w:sz w:val="20"/>
        </w:rPr>
        <w:t>COMPREHENSIVE INCOME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7" w:name="zb39eaa4ad2054d7d8da9df307874c517"/>
      <w:bookmarkStart w:id="138" w:name="zb39eaa4ad2054d7d8da9df307874c517"/>
      <w:bookmarkEnd w:id="138"/>
    </w:p>
    <w:tbl>
      <w:tblPr>
        <w:tblW w:w="10205" w:type="dxa"/>
        <w:jc w:val="left"/>
        <w:tblInd w:w="0" w:type="dxa"/>
        <w:tblLayout w:type="fixed"/>
        <w:tblCellMar>
          <w:top w:w="0" w:type="dxa"/>
          <w:left w:w="0" w:type="dxa"/>
          <w:bottom w:w="0" w:type="dxa"/>
          <w:right w:w="0" w:type="dxa"/>
        </w:tblCellMar>
      </w:tblPr>
      <w:tblGrid>
        <w:gridCol w:w="7354"/>
        <w:gridCol w:w="90"/>
        <w:gridCol w:w="227"/>
        <w:gridCol w:w="954"/>
        <w:gridCol w:w="167"/>
        <w:gridCol w:w="120"/>
        <w:gridCol w:w="236"/>
        <w:gridCol w:w="898"/>
        <w:gridCol w:w="159"/>
      </w:tblGrid>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2"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bidi w:val="0"/>
              <w:spacing w:before="0" w:after="0"/>
              <w:jc w:val="center"/>
              <w:rPr/>
            </w:pPr>
            <w:r>
              <w:rPr/>
              <w:t>(Restated)</w:t>
            </w:r>
          </w:p>
        </w:tc>
        <w:tc>
          <w:tcPr>
            <w:tcW w:w="159" w:type="dxa"/>
            <w:tcBorders/>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2" w:type="dxa"/>
            <w:gridSpan w:val="6"/>
            <w:tcBorders/>
            <w:vAlign w:val="bottom"/>
          </w:tcPr>
          <w:p>
            <w:pPr>
              <w:pStyle w:val="TableContents"/>
              <w:bidi w:val="0"/>
              <w:spacing w:before="0" w:after="0"/>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180" w:right="0" w:hanging="18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6,017</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(1,393</w:t>
            </w:r>
          </w:p>
        </w:tc>
        <w:tc>
          <w:tcPr>
            <w:tcW w:w="159" w:type="dxa"/>
            <w:tcBorders/>
            <w:shd w:fill="CCEEFF" w:val="clear"/>
            <w:vAlign w:val="bottom"/>
          </w:tcPr>
          <w:p>
            <w:pPr>
              <w:pStyle w:val="TableContents"/>
              <w:bidi w:val="0"/>
              <w:spacing w:before="0" w:after="0"/>
              <w:jc w:val="left"/>
              <w:rPr/>
            </w:pPr>
            <w:r>
              <w:rPr/>
              <w:t>)</w:t>
            </w:r>
          </w:p>
        </w:tc>
      </w:tr>
      <w:tr>
        <w:trPr/>
        <w:tc>
          <w:tcPr>
            <w:tcW w:w="7354" w:type="dxa"/>
            <w:tcBorders/>
            <w:vAlign w:val="bottom"/>
          </w:tcPr>
          <w:p>
            <w:pPr>
              <w:pStyle w:val="TableContents"/>
              <w:bidi w:val="0"/>
              <w:spacing w:before="0" w:after="0"/>
              <w:ind w:left="180" w:right="0" w:hanging="180"/>
              <w:jc w:val="left"/>
              <w:rPr/>
            </w:pPr>
            <w:r>
              <w:rPr/>
              <w:t>Other comprehensive gain:</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360" w:right="0" w:hanging="180"/>
              <w:jc w:val="left"/>
              <w:rPr/>
            </w:pPr>
            <w:r>
              <w:rPr/>
              <w:t>Gross unrealized holding gain (loss) on available-for-sale fixed maturities</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pPr>
            <w:r>
              <w:rPr/>
              <w:t>7,102</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pPr>
            <w:r>
              <w:rPr/>
              <w:t>(3,263</w:t>
            </w:r>
          </w:p>
        </w:tc>
        <w:tc>
          <w:tcPr>
            <w:tcW w:w="159" w:type="dxa"/>
            <w:tcBorders/>
            <w:shd w:fill="CCEEFF" w:val="clear"/>
            <w:vAlign w:val="bottom"/>
          </w:tcPr>
          <w:p>
            <w:pPr>
              <w:pStyle w:val="TableContents"/>
              <w:bidi w:val="0"/>
              <w:spacing w:before="0" w:after="0"/>
              <w:jc w:val="left"/>
              <w:rPr/>
            </w:pPr>
            <w:r>
              <w:rPr/>
              <w:t>)</w:t>
            </w:r>
          </w:p>
        </w:tc>
      </w:tr>
      <w:tr>
        <w:trPr/>
        <w:tc>
          <w:tcPr>
            <w:tcW w:w="7354" w:type="dxa"/>
            <w:tcBorders/>
            <w:vAlign w:val="bottom"/>
          </w:tcPr>
          <w:p>
            <w:pPr>
              <w:pStyle w:val="TableContents"/>
              <w:bidi w:val="0"/>
              <w:spacing w:before="0" w:after="0"/>
              <w:ind w:left="360" w:right="0" w:hanging="180"/>
              <w:jc w:val="left"/>
              <w:rPr/>
            </w:pPr>
            <w:r>
              <w:rPr/>
              <w:t>Reclassification adjustment for net realized gains (losses) included in net income (loss)</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pPr>
            <w:r>
              <w:rPr/>
              <w:t>471</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pPr>
            <w:r>
              <w:rPr/>
              <w:t>(17</w:t>
            </w:r>
          </w:p>
        </w:tc>
        <w:tc>
          <w:tcPr>
            <w:tcW w:w="159" w:type="dxa"/>
            <w:tcBorders/>
            <w:vAlign w:val="bottom"/>
          </w:tcPr>
          <w:p>
            <w:pPr>
              <w:pStyle w:val="TableContents"/>
              <w:bidi w:val="0"/>
              <w:spacing w:before="0" w:after="0"/>
              <w:jc w:val="left"/>
              <w:rPr/>
            </w:pPr>
            <w:r>
              <w:rPr/>
              <w:t>)</w:t>
            </w:r>
          </w:p>
        </w:tc>
      </w:tr>
      <w:tr>
        <w:trPr/>
        <w:tc>
          <w:tcPr>
            <w:tcW w:w="7354" w:type="dxa"/>
            <w:tcBorders/>
            <w:shd w:fill="CCEEFF" w:val="clear"/>
            <w:vAlign w:val="bottom"/>
          </w:tcPr>
          <w:p>
            <w:pPr>
              <w:pStyle w:val="TableContents"/>
              <w:bidi w:val="0"/>
              <w:spacing w:before="0" w:after="0"/>
              <w:ind w:left="180" w:right="0" w:hanging="0"/>
              <w:jc w:val="left"/>
              <w:rPr/>
            </w:pPr>
            <w:r>
              <w:rPr/>
              <w:t>Change in future policy benefit due to change in discount rate</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(1,233</w:t>
            </w:r>
          </w:p>
        </w:tc>
        <w:tc>
          <w:tcPr>
            <w:tcW w:w="167" w:type="dxa"/>
            <w:tcBorders/>
            <w:shd w:fill="CCEEFF" w:val="clear"/>
            <w:vAlign w:val="bottom"/>
          </w:tcPr>
          <w:p>
            <w:pPr>
              <w:pStyle w:val="TableContents"/>
              <w:bidi w:val="0"/>
              <w:spacing w:before="0" w:after="0"/>
              <w:jc w:val="left"/>
              <w:rPr/>
            </w:pPr>
            <w:r>
              <w:rPr/>
              <w:t>)</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8,774</w:t>
            </w:r>
          </w:p>
        </w:tc>
        <w:tc>
          <w:tcPr>
            <w:tcW w:w="159" w:type="dxa"/>
            <w:tcBorders/>
            <w:shd w:fill="CCEEFF" w:val="clear"/>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0"/>
              <w:ind w:left="540" w:right="0" w:hanging="180"/>
              <w:jc w:val="left"/>
              <w:rPr/>
            </w:pPr>
            <w:r>
              <w:rPr/>
              <w:t>Subtotal</w:t>
            </w:r>
          </w:p>
        </w:tc>
        <w:tc>
          <w:tcPr>
            <w:tcW w:w="90" w:type="dxa"/>
            <w:tcBorders/>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pPr>
            <w:r>
              <w:rPr/>
              <w:t>6,340</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pPr>
            <w:r>
              <w:rPr/>
              <w:t>5,494</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0"/>
              <w:ind w:left="360" w:right="0" w:hanging="180"/>
              <w:jc w:val="left"/>
              <w:rPr/>
            </w:pPr>
            <w:r>
              <w:rPr/>
              <w:t>Related income tax (expense) benefit</w:t>
            </w:r>
          </w:p>
        </w:tc>
        <w:tc>
          <w:tcPr>
            <w:tcW w:w="90" w:type="dxa"/>
            <w:tcBorders/>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pPr>
            <w:r>
              <w:rPr/>
              <w:t>(1,331</w:t>
            </w:r>
          </w:p>
        </w:tc>
        <w:tc>
          <w:tcPr>
            <w:tcW w:w="167" w:type="dxa"/>
            <w:tcBorders/>
            <w:vAlign w:val="bottom"/>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pPr>
            <w:r>
              <w:rPr/>
              <w:t>(1,154</w:t>
            </w:r>
          </w:p>
        </w:tc>
        <w:tc>
          <w:tcPr>
            <w:tcW w:w="159" w:type="dxa"/>
            <w:tcBorders/>
            <w:vAlign w:val="bottom"/>
          </w:tcPr>
          <w:p>
            <w:pPr>
              <w:pStyle w:val="TableContents"/>
              <w:bidi w:val="0"/>
              <w:spacing w:before="0" w:after="0"/>
              <w:jc w:val="left"/>
              <w:rPr/>
            </w:pPr>
            <w:r>
              <w:rPr/>
              <w:t>)</w:t>
            </w:r>
          </w:p>
        </w:tc>
      </w:tr>
      <w:tr>
        <w:trPr/>
        <w:tc>
          <w:tcPr>
            <w:tcW w:w="7354" w:type="dxa"/>
            <w:tcBorders/>
            <w:shd w:fill="CCEEFF" w:val="clear"/>
            <w:vAlign w:val="bottom"/>
          </w:tcPr>
          <w:p>
            <w:pPr>
              <w:pStyle w:val="TableContents"/>
              <w:bidi w:val="0"/>
              <w:spacing w:before="0" w:after="0"/>
              <w:ind w:left="540" w:right="0" w:hanging="180"/>
              <w:jc w:val="left"/>
              <w:rPr/>
            </w:pPr>
            <w:r>
              <w:rPr/>
              <w:t>Subtotal</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(1,331</w:t>
            </w:r>
          </w:p>
        </w:tc>
        <w:tc>
          <w:tcPr>
            <w:tcW w:w="167" w:type="dxa"/>
            <w:tcBorders/>
            <w:shd w:fill="CCEEFF" w:val="clear"/>
            <w:vAlign w:val="bottom"/>
          </w:tcPr>
          <w:p>
            <w:pPr>
              <w:pStyle w:val="TableContents"/>
              <w:bidi w:val="0"/>
              <w:spacing w:before="0" w:after="0"/>
              <w:jc w:val="left"/>
              <w:rPr/>
            </w:pPr>
            <w:r>
              <w:rPr/>
              <w:t>)</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(1,154</w:t>
            </w:r>
          </w:p>
        </w:tc>
        <w:tc>
          <w:tcPr>
            <w:tcW w:w="159" w:type="dxa"/>
            <w:tcBorders/>
            <w:shd w:fill="CCEEFF" w:val="clear"/>
            <w:vAlign w:val="bottom"/>
          </w:tcPr>
          <w:p>
            <w:pPr>
              <w:pStyle w:val="TableContents"/>
              <w:bidi w:val="0"/>
              <w:spacing w:before="0" w:after="0"/>
              <w:jc w:val="left"/>
              <w:rPr/>
            </w:pPr>
            <w:r>
              <w:rPr/>
              <w:t>)</w:t>
            </w:r>
          </w:p>
        </w:tc>
      </w:tr>
      <w:tr>
        <w:trPr/>
        <w:tc>
          <w:tcPr>
            <w:tcW w:w="735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540" w:right="0" w:hanging="180"/>
              <w:jc w:val="left"/>
              <w:rPr/>
            </w:pPr>
            <w:r>
              <w:rPr/>
              <w:t>Total other comprehensive income, net of tax</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5,009</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4,340</w:t>
            </w:r>
          </w:p>
        </w:tc>
        <w:tc>
          <w:tcPr>
            <w:tcW w:w="159" w:type="dxa"/>
            <w:tcBorders/>
            <w:shd w:fill="CCEEFF" w:val="clear"/>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0"/>
              <w:jc w:val="left"/>
              <w:rPr/>
            </w:pPr>
            <w:r>
              <w:rPr/>
              <w:t>Total comprehensive income</w:t>
            </w:r>
          </w:p>
        </w:tc>
        <w:tc>
          <w:tcPr>
            <w:tcW w:w="90" w:type="dxa"/>
            <w:tcBorders/>
            <w:vAlign w:val="bottom"/>
          </w:tcPr>
          <w:p>
            <w:pPr>
              <w:pStyle w:val="TableContents"/>
              <w:bidi w:val="0"/>
              <w:spacing w:before="0" w:after="283"/>
              <w:jc w:val="left"/>
              <w:rPr/>
            </w:pPr>
            <w:r>
              <w:rPr/>
              <w:t> </w:t>
            </w:r>
          </w:p>
        </w:tc>
        <w:tc>
          <w:tcPr>
            <w:tcW w:w="227" w:type="dxa"/>
            <w:tcBorders>
              <w:bottom w:val="double" w:sz="8" w:space="0" w:color="000000"/>
            </w:tcBorders>
            <w:tcMar>
              <w:bottom w:w="28" w:type="dxa"/>
            </w:tcMar>
            <w:vAlign w:val="bottom"/>
          </w:tcPr>
          <w:p>
            <w:pPr>
              <w:pStyle w:val="TableContents"/>
              <w:bidi w:val="0"/>
              <w:spacing w:before="0" w:after="0"/>
              <w:jc w:val="left"/>
              <w:rPr/>
            </w:pPr>
            <w:r>
              <w:rPr/>
              <w:t>$</w:t>
            </w:r>
          </w:p>
        </w:tc>
        <w:tc>
          <w:tcPr>
            <w:tcW w:w="954" w:type="dxa"/>
            <w:tcBorders>
              <w:bottom w:val="double" w:sz="8" w:space="0" w:color="000000"/>
            </w:tcBorders>
            <w:tcMar>
              <w:bottom w:w="28" w:type="dxa"/>
            </w:tcMar>
            <w:vAlign w:val="bottom"/>
          </w:tcPr>
          <w:p>
            <w:pPr>
              <w:pStyle w:val="TableContents"/>
              <w:bidi w:val="0"/>
              <w:spacing w:before="0" w:after="0"/>
              <w:jc w:val="right"/>
              <w:rPr/>
            </w:pPr>
            <w:r>
              <w:rPr/>
              <w:t>11,026</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pPr>
            <w:r>
              <w:rPr/>
              <w:t>$</w:t>
            </w:r>
          </w:p>
        </w:tc>
        <w:tc>
          <w:tcPr>
            <w:tcW w:w="898" w:type="dxa"/>
            <w:tcBorders>
              <w:bottom w:val="double" w:sz="8" w:space="0" w:color="000000"/>
            </w:tcBorders>
            <w:tcMar>
              <w:bottom w:w="28" w:type="dxa"/>
            </w:tcMar>
            <w:vAlign w:val="bottom"/>
          </w:tcPr>
          <w:p>
            <w:pPr>
              <w:pStyle w:val="TableContents"/>
              <w:bidi w:val="0"/>
              <w:spacing w:before="0" w:after="0"/>
              <w:jc w:val="right"/>
              <w:rPr/>
            </w:pPr>
            <w:r>
              <w:rPr/>
              <w:t>2,947</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w:t>
      </w:r>
      <w:bookmarkStart w:id="139" w:name="SHAREHOLDERSEQUITY"/>
      <w:bookmarkEnd w:id="139"/>
      <w:r>
        <w:rPr>
          <w:rFonts w:ascii="Times New Roman" w:hAnsi="Times New Roman"/>
          <w:b/>
          <w:sz w:val="20"/>
        </w:rPr>
        <w:t>SHAREHOLDERS’ EQUITY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0" w:name="z9d4fdbebbb964dac90ff991ec917be79"/>
      <w:bookmarkStart w:id="141" w:name="z9d4fdbebbb964dac90ff991ec917be79"/>
      <w:bookmarkEnd w:id="141"/>
    </w:p>
    <w:tbl>
      <w:tblPr>
        <w:tblW w:w="10205" w:type="dxa"/>
        <w:jc w:val="left"/>
        <w:tblInd w:w="0" w:type="dxa"/>
        <w:tblLayout w:type="fixed"/>
        <w:tblCellMar>
          <w:top w:w="0" w:type="dxa"/>
          <w:left w:w="0" w:type="dxa"/>
          <w:bottom w:w="0" w:type="dxa"/>
          <w:right w:w="0" w:type="dxa"/>
        </w:tblCellMar>
      </w:tblPr>
      <w:tblGrid>
        <w:gridCol w:w="7145"/>
        <w:gridCol w:w="90"/>
        <w:gridCol w:w="170"/>
        <w:gridCol w:w="1130"/>
        <w:gridCol w:w="125"/>
        <w:gridCol w:w="90"/>
        <w:gridCol w:w="170"/>
        <w:gridCol w:w="1130"/>
        <w:gridCol w:w="155"/>
      </w:tblGrid>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center"/>
              <w:rPr>
                <w:b/>
              </w:rPr>
            </w:pPr>
            <w:r>
              <w:rPr>
                <w:b/>
              </w:rPr>
              <w:t>(In thousands, except share and per share data)</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left"/>
              <w:rPr>
                <w:b/>
              </w:rPr>
            </w:pPr>
            <w:r>
              <w:rPr>
                <w:b/>
              </w:rPr>
              <w:t>Preferred stock:</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55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55</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55</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22,401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22,401</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360" w:right="0" w:hanging="0"/>
              <w:jc w:val="left"/>
              <w:rPr/>
            </w:pPr>
            <w:r>
              <w:rPr/>
              <w:t>Balance, end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22,401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22,401</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left"/>
              <w:rPr>
                <w:b/>
              </w:rPr>
            </w:pPr>
            <w:r>
              <w:rPr>
                <w:b/>
              </w:rPr>
              <w:t>Additional paid-in capital: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57,425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57,425</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57,425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57,425</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Retained earnings: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43,499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49,721</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Cumulative effect from the adoption of new accounting standards, net of tax</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(4,022</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180" w:right="0" w:hanging="0"/>
              <w:jc w:val="left"/>
              <w:rPr/>
            </w:pPr>
            <w:r>
              <w:rPr/>
              <w:t>Net income (loss)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6,017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(1,393</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180" w:right="0" w:hanging="0"/>
              <w:jc w:val="left"/>
              <w:rPr/>
            </w:pPr>
            <w:r>
              <w:rPr/>
              <w:t>Dividends on 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(408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(408</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180" w:right="0" w:hanging="0"/>
              <w:jc w:val="left"/>
              <w:rPr/>
            </w:pPr>
            <w:r>
              <w:rPr/>
              <w:t>Dividends accrued on preferred stock</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(399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(399</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360" w:right="0" w:hanging="0"/>
              <w:jc w:val="left"/>
              <w:rPr/>
            </w:pPr>
            <w:r>
              <w:rPr/>
              <w:t>Balance, end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48,709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43,499</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left"/>
              <w:rPr>
                <w:b/>
              </w:rPr>
            </w:pPr>
            <w:r>
              <w:rPr>
                <w:b/>
              </w:rPr>
              <w:t>Accumulated other comprehensive loss: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(5,399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(16,121</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180" w:right="0" w:hanging="0"/>
              <w:jc w:val="left"/>
              <w:rPr/>
            </w:pPr>
            <w:r>
              <w:rPr/>
              <w:t>Cumulative effect from the adoption of new accounting standards, net of tax</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6,382</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Other comprehensive income, net of tax</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5,009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4,340</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(390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(5,399</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jc w:val="left"/>
              <w:rPr>
                <w:b/>
              </w:rPr>
            </w:pPr>
            <w:r>
              <w:rPr>
                <w:b/>
              </w:rPr>
              <w:t>Unearned stock grant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(13</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180" w:right="0" w:hanging="0"/>
              <w:jc w:val="left"/>
              <w:rPr/>
            </w:pPr>
            <w:r>
              <w:rPr/>
              <w:t>Amortization of unearned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11</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jc w:val="left"/>
              <w:rPr>
                <w:b/>
              </w:rPr>
            </w:pPr>
            <w:r>
              <w:rPr>
                <w:b/>
              </w:rPr>
              <w:t>Treasury stock: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(7,408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(7,401</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180" w:right="0" w:hanging="0"/>
              <w:jc w:val="left"/>
              <w:rPr/>
            </w:pPr>
            <w:r>
              <w:rPr/>
              <w:t>Net shares acquired related to employee share-based compensation plans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(7</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(7,412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(7,408</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540" w:right="0" w:hanging="0"/>
              <w:jc w:val="left"/>
              <w:rPr>
                <w:b/>
              </w:rPr>
            </w:pPr>
            <w:r>
              <w:rPr>
                <w:b/>
              </w:rPr>
              <w:t>Total shareholders’ equity</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130" w:type="dxa"/>
            <w:tcBorders>
              <w:bottom w:val="double" w:sz="8" w:space="0" w:color="000000"/>
            </w:tcBorders>
            <w:tcMar>
              <w:bottom w:w="28" w:type="dxa"/>
            </w:tcMar>
            <w:vAlign w:val="bottom"/>
          </w:tcPr>
          <w:p>
            <w:pPr>
              <w:pStyle w:val="TableContents"/>
              <w:bidi w:val="0"/>
              <w:spacing w:before="0" w:after="0"/>
              <w:jc w:val="right"/>
              <w:rPr/>
            </w:pPr>
            <w:r>
              <w:rPr/>
              <w:t>120,788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130" w:type="dxa"/>
            <w:tcBorders>
              <w:bottom w:val="double" w:sz="8" w:space="0" w:color="000000"/>
            </w:tcBorders>
            <w:tcMar>
              <w:bottom w:w="28" w:type="dxa"/>
            </w:tcMar>
            <w:vAlign w:val="bottom"/>
          </w:tcPr>
          <w:p>
            <w:pPr>
              <w:pStyle w:val="TableContents"/>
              <w:bidi w:val="0"/>
              <w:spacing w:before="0" w:after="283"/>
              <w:jc w:val="right"/>
              <w:rPr/>
            </w:pPr>
            <w:r>
              <w:rPr/>
              <w:t>110,571</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Dividends declared on common stock per share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0.02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0.02</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Common shares outstanding: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20,399,758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20,402,288</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Net shares acquired under employee share-based compensation plans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(2,530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(2,530</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pPr>
            <w:r>
              <w:rPr/>
              <w:t>20,397,228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pPr>
            <w:r>
              <w:rPr/>
              <w:t>20,399,758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w:t>
      </w:r>
      <w:bookmarkStart w:id="142" w:name="CASHFLOWS"/>
      <w:bookmarkEnd w:id="142"/>
      <w:r>
        <w:rPr>
          <w:rFonts w:ascii="Times New Roman" w:hAnsi="Times New Roman"/>
          <w:b/>
          <w:sz w:val="20"/>
        </w:rPr>
        <w:t>CASH FLOWS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3" w:name="zbeb3194f103043adbbe567bf43ee2a24"/>
      <w:bookmarkStart w:id="144" w:name="zbeb3194f103043adbbe567bf43ee2a24"/>
      <w:bookmarkEnd w:id="144"/>
    </w:p>
    <w:tbl>
      <w:tblPr>
        <w:tblW w:w="10205" w:type="dxa"/>
        <w:jc w:val="left"/>
        <w:tblInd w:w="0" w:type="dxa"/>
        <w:tblLayout w:type="fixed"/>
        <w:tblCellMar>
          <w:top w:w="0" w:type="dxa"/>
          <w:left w:w="0" w:type="dxa"/>
          <w:bottom w:w="0" w:type="dxa"/>
          <w:right w:w="0" w:type="dxa"/>
        </w:tblCellMar>
      </w:tblPr>
      <w:tblGrid>
        <w:gridCol w:w="7296"/>
        <w:gridCol w:w="90"/>
        <w:gridCol w:w="213"/>
        <w:gridCol w:w="983"/>
        <w:gridCol w:w="156"/>
        <w:gridCol w:w="112"/>
        <w:gridCol w:w="213"/>
        <w:gridCol w:w="983"/>
        <w:gridCol w:w="159"/>
      </w:tblGrid>
      <w:tr>
        <w:trPr/>
        <w:tc>
          <w:tcPr>
            <w:tcW w:w="729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0"/>
              <w:jc w:val="center"/>
              <w:rPr/>
            </w:pPr>
            <w:r>
              <w:rPr/>
              <w:t>(Restated)</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2660" w:type="dxa"/>
            <w:gridSpan w:val="6"/>
            <w:tcBorders/>
            <w:vAlign w:val="bottom"/>
          </w:tcPr>
          <w:p>
            <w:pPr>
              <w:pStyle w:val="TableContents"/>
              <w:bidi w:val="0"/>
              <w:spacing w:before="0" w:after="0"/>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b/>
              </w:rPr>
            </w:pPr>
            <w:r>
              <w:rPr>
                <w:b/>
              </w:rPr>
              <w:t>Cash flows from operating activities:</w:t>
            </w:r>
          </w:p>
        </w:tc>
        <w:tc>
          <w:tcPr>
            <w:tcW w:w="90"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pPr>
            <w:r>
              <w:rPr/>
              <w:t>$</w:t>
            </w:r>
          </w:p>
        </w:tc>
        <w:tc>
          <w:tcPr>
            <w:tcW w:w="983" w:type="dxa"/>
            <w:tcBorders/>
            <w:shd w:fill="CCEEFF" w:val="clear"/>
            <w:vAlign w:val="bottom"/>
          </w:tcPr>
          <w:p>
            <w:pPr>
              <w:pStyle w:val="TableContents"/>
              <w:bidi w:val="0"/>
              <w:spacing w:before="0" w:after="0"/>
              <w:jc w:val="right"/>
              <w:rPr/>
            </w:pPr>
            <w:r>
              <w:rPr/>
              <w:t>6,017</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pPr>
            <w:r>
              <w:rPr/>
              <w:t>$</w:t>
            </w:r>
          </w:p>
        </w:tc>
        <w:tc>
          <w:tcPr>
            <w:tcW w:w="983" w:type="dxa"/>
            <w:tcBorders/>
            <w:shd w:fill="CCEEFF" w:val="clear"/>
            <w:vAlign w:val="bottom"/>
          </w:tcPr>
          <w:p>
            <w:pPr>
              <w:pStyle w:val="TableContents"/>
              <w:bidi w:val="0"/>
              <w:spacing w:before="0" w:after="0"/>
              <w:jc w:val="right"/>
              <w:rPr/>
            </w:pPr>
            <w:r>
              <w:rPr/>
              <w:t>(1,393</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540" w:right="0" w:hanging="360"/>
              <w:jc w:val="left"/>
              <w:rPr/>
            </w:pPr>
            <w:r>
              <w:rPr/>
              <w:t>Adjustments to reconcile net income (loss) to net cash provided by operating activities: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720" w:right="0" w:hanging="360"/>
              <w:jc w:val="left"/>
              <w:rPr/>
            </w:pPr>
            <w:r>
              <w:rPr/>
              <w:t>Amortization of deferred acquisition costs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18,858</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18,551</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Acquisition costs deferred</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(19,932</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(19,239</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720" w:right="0" w:hanging="360"/>
              <w:jc w:val="left"/>
              <w:rPr/>
            </w:pPr>
            <w:r>
              <w:rPr/>
              <w:t>Realized investment gains, net</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(17</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(1,210</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720" w:right="0" w:hanging="360"/>
              <w:jc w:val="left"/>
              <w:rPr/>
            </w:pPr>
            <w:r>
              <w:rPr/>
              <w:t>Other than temporary impairment loss on available for sale securities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488</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720" w:right="0" w:hanging="360"/>
              <w:jc w:val="left"/>
              <w:rPr/>
            </w:pPr>
            <w:r>
              <w:rPr/>
              <w:t>Unrealized (gains) losses on equity securities, net</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(4,491</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1,516</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Losses from equity method investees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579</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766</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720" w:right="0" w:hanging="360"/>
              <w:jc w:val="left"/>
              <w:rPr/>
            </w:pPr>
            <w:r>
              <w:rPr/>
              <w:t>Compensation expense related to share awards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2</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Benefit for credit losses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(27</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720" w:right="0" w:hanging="360"/>
              <w:jc w:val="left"/>
              <w:rPr/>
            </w:pPr>
            <w:r>
              <w:rPr/>
              <w:t>Depreciation and amortization</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438</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366</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Deferred income tax benefit</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(405</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(3,290</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540" w:right="0" w:hanging="360"/>
              <w:jc w:val="left"/>
              <w:rPr/>
            </w:pPr>
            <w:r>
              <w:rPr/>
              <w:t>(Increase) decrease in receivables, net</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(7,709</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2,888</w:t>
            </w:r>
          </w:p>
        </w:tc>
        <w:tc>
          <w:tcPr>
            <w:tcW w:w="159" w:type="dxa"/>
            <w:tcBorders/>
            <w:shd w:fill="CCEEFF" w:val="clear"/>
            <w:vAlign w:val="bottom"/>
          </w:tcPr>
          <w:p>
            <w:pPr>
              <w:pStyle w:val="TableContents"/>
              <w:bidi w:val="0"/>
              <w:spacing w:before="0" w:after="0"/>
              <w:jc w:val="left"/>
              <w:rPr/>
            </w:pPr>
            <w:r>
              <w:rPr/>
              <w:t> </w:t>
            </w:r>
          </w:p>
        </w:tc>
      </w:tr>
      <w:tr>
        <w:trPr/>
        <w:tc>
          <w:tcPr>
            <w:tcW w:w="7296" w:type="dxa"/>
            <w:tcBorders/>
            <w:vAlign w:val="bottom"/>
          </w:tcPr>
          <w:p>
            <w:pPr>
              <w:pStyle w:val="TableContents"/>
              <w:bidi w:val="0"/>
              <w:spacing w:before="0" w:after="0"/>
              <w:ind w:left="540" w:right="0" w:hanging="360"/>
              <w:jc w:val="left"/>
              <w:rPr/>
            </w:pPr>
            <w:r>
              <w:rPr/>
              <w:t>Increase in insurance reserves and policyholder funds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33,950</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5,480</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Increase in accounts payable and accrued expenses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5,500</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3,215</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Other, net</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(377</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(2,857</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360" w:right="0" w:hanging="360"/>
              <w:jc w:val="left"/>
              <w:rPr/>
            </w:pPr>
            <w:r>
              <w:rPr/>
              <w:t>Net cash provided by operating activities</w:t>
            </w:r>
          </w:p>
        </w:tc>
        <w:tc>
          <w:tcPr>
            <w:tcW w:w="9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32,874</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4,800</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360" w:right="0" w:hanging="360"/>
              <w:jc w:val="left"/>
              <w:rPr>
                <w:b/>
              </w:rPr>
            </w:pPr>
            <w:r>
              <w:rPr>
                <w:b/>
              </w:rPr>
              <w:t>Cash flows from investing activities: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Proceeds from investments sold and policy loans redeemed</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13,486</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2,567</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Proceeds from investments matured, called or redeemed</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17,301</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13,791</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Investments purchased</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(55,318</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(13,850</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540" w:right="0" w:hanging="360"/>
              <w:jc w:val="left"/>
              <w:rPr/>
            </w:pPr>
            <w:r>
              <w:rPr/>
              <w:t>Additions to property and equipment</w:t>
            </w:r>
          </w:p>
        </w:tc>
        <w:tc>
          <w:tcPr>
            <w:tcW w:w="9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(466</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(225</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360" w:right="0" w:hanging="360"/>
              <w:jc w:val="left"/>
              <w:rPr/>
            </w:pPr>
            <w:r>
              <w:rPr/>
              <w:t>Net cash (used in) provided by investing activities</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(24,997</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2,283</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360" w:right="0" w:hanging="36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b/>
              </w:rPr>
            </w:pPr>
            <w:r>
              <w:rPr>
                <w:b/>
              </w:rPr>
              <w:t>Cash flows from financing activities: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Payment of dividends on Series D preferred stock</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(399</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(399</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540" w:right="0" w:hanging="360"/>
              <w:jc w:val="left"/>
              <w:rPr/>
            </w:pPr>
            <w:r>
              <w:rPr/>
              <w:t>Payment of dividends on common stock</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(408</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(408</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540" w:right="0" w:hanging="360"/>
              <w:jc w:val="left"/>
              <w:rPr/>
            </w:pPr>
            <w:r>
              <w:rPr/>
              <w:t>Treasury stock acquired — net employee share-based compensation</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(4</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(7</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540" w:right="0" w:hanging="360"/>
              <w:jc w:val="left"/>
              <w:rPr/>
            </w:pPr>
            <w:r>
              <w:rPr/>
              <w:t>Proceeds from revolving credit facility, net</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1,000</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1,000</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360" w:right="0" w:hanging="360"/>
              <w:jc w:val="left"/>
              <w:rPr/>
            </w:pPr>
            <w:r>
              <w:rPr/>
              <w:t>Net cash provided by financing activities</w:t>
            </w:r>
          </w:p>
        </w:tc>
        <w:tc>
          <w:tcPr>
            <w:tcW w:w="9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189</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186</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Net increase in cash</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8,066</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7,269</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Cash and cash equivalents at beginning of year</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35,570</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28,301</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180" w:right="0" w:hanging="0"/>
              <w:jc w:val="left"/>
              <w:rPr/>
            </w:pPr>
            <w:r>
              <w:rPr/>
              <w:t>Cash and cash equivalents at end of year</w:t>
            </w:r>
          </w:p>
        </w:tc>
        <w:tc>
          <w:tcPr>
            <w:tcW w:w="9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43,636</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35,570</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jc w:val="left"/>
              <w:rPr>
                <w:b/>
              </w:rPr>
            </w:pPr>
            <w:r>
              <w:rPr>
                <w:b/>
              </w:rPr>
              <w:t>Supplemental cash flow information:</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180" w:right="0" w:hanging="0"/>
              <w:jc w:val="left"/>
              <w:rPr/>
            </w:pPr>
            <w:r>
              <w:rPr/>
              <w:t>Cash paid for interest</w:t>
            </w:r>
          </w:p>
        </w:tc>
        <w:tc>
          <w:tcPr>
            <w:tcW w:w="9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3,106</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3,445</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180" w:right="0" w:hanging="0"/>
              <w:jc w:val="left"/>
              <w:rPr/>
            </w:pPr>
            <w:r>
              <w:rPr/>
              <w:t>Cash paid for federal income taxes</w:t>
            </w:r>
          </w:p>
        </w:tc>
        <w:tc>
          <w:tcPr>
            <w:tcW w:w="9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1,652</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580</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180" w:right="0" w:hanging="0"/>
              <w:jc w:val="left"/>
              <w:rPr/>
            </w:pPr>
            <w:r>
              <w:rPr/>
              <w:t>Cash paid for state income taxes</w:t>
            </w:r>
          </w:p>
        </w:tc>
        <w:tc>
          <w:tcPr>
            <w:tcW w:w="9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187</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213</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bookmarkStart w:id="145" w:name="NOTESTO"/>
      <w:bookmarkEnd w:id="145"/>
      <w:r>
        <w:rPr>
          <w:rFonts w:ascii="Times New Roman" w:hAnsi="Times New Roman"/>
          <w:b/>
          <w:sz w:val="20"/>
        </w:rPr>
        <w:t>NOTES TO CONSOLIDATED FINANCIAL STATEMENTS</w:t>
      </w:r>
    </w:p>
    <w:p>
      <w:pPr>
        <w:pStyle w:val="TextBody"/>
        <w:bidi w:val="0"/>
        <w:spacing w:before="0" w:after="0"/>
        <w:jc w:val="center"/>
        <w:rPr>
          <w:rFonts w:ascii="Times New Roman" w:hAnsi="Times New Roman"/>
          <w:b/>
          <w:sz w:val="20"/>
        </w:rPr>
      </w:pPr>
      <w:r>
        <w:rPr>
          <w:rFonts w:ascii="Times New Roman" w:hAnsi="Times New Roman"/>
          <w:b/>
          <w:sz w:val="20"/>
        </w:rPr>
        <w:t>(Dollars in thousands)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 Summary of Significant Accounting Policies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American Corporation (“Atlantic American” or the “Parent”), a Georgia corporation incorporated in 1968, is an insurance holding company. Atlantic American and its consolidated subsidiaries (collectively, the “Company”) provide life and health and property and casualty insurance products through two operating groups: Bankers Fidelity and American Southern.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As of December 31, 2025, Bankers Fidelity consisted of Bankers Fidelity Life Insurance Company and its wholly owned subsidiaries, Bankers Fidelity Assurance Company and Atlantic Capital Life Assurance Company. American Southern consisted of American Southern Insurance Company; its wholly owned insurance subsidiary, American Safety Insurance Company; and its wholly owned non-insurance subsidiaries, Premier Adjusting and Claim Services, Inc., Automobile Safety Management, Inc. and Automated Systems of Georgia, Inc. The Parent also owned xCalibre Risk Services, Inc., a non-insurance subsidiary.</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sz w:val="20"/>
        </w:rPr>
        <w:t>Basis of Presentation and Consolidation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accompanying consolidated financial statements have been prepared in conformity with accounting principles generally accepted in the United States of America (“GAAP”) under guidance issued by the Financial Accounting Standards Board (“FASB”) and include the accounts of the Parent and its subsidiaries. All significant intercompany accounts and transactions have been eliminated in consolidation. The Company’s insurance subsidiaries also prepare financial statements in accordance with statutory accounting practices prescribed or permitted by their respective state insurance regulatory authorities, which differ from GAAP. The preparation of consolidated financial statements in conformity with GAAP requires management to make estimates and assumptions that affect the reported amounts of assets and liabilities and disclosure of contingent liabilities at the date of the consolidated financial statements and the reported amounts of revenues and expenses during the reporting period.</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Adoption of ASU 2018-12—Targeted Improvements to the Accounting for Long-Duration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January 1, 2025, the Company adopted Accounting Standards Update (“ASU”) No. 2018-12, </w:t>
      </w:r>
      <w:r>
        <w:rPr>
          <w:rFonts w:ascii="Times New Roman" w:hAnsi="Times New Roman"/>
          <w:i/>
          <w:sz w:val="20"/>
        </w:rPr>
        <w:t>Financial Services—Insurance (Topic 944): Targeted Improvements to the Accounting for Long-Duration Contracts</w:t>
      </w:r>
      <w:r>
        <w:rPr>
          <w:rFonts w:ascii="Times New Roman" w:hAnsi="Times New Roman"/>
          <w:sz w:val="20"/>
        </w:rPr>
        <w:t>, as subsequently amended by ASU Nos. 2019-09, 2020-11 and 2022-05 (collectively, “LDTI”). The Company applied LDTI using the modified retrospective transition method as of January 1, 2024 (the “Transition Date”) to its whole life, Medicare Supplement and certain guaranteed-renewable accident and health insurance products. Accordingly, amounts previously reported as of and for the year ended December 31, 2024, have been adjusted to conform to LDTI’s recognition, measurement, presentation and disclosure requirements. The effects of adoption as of the Transition Date are summarized below, and additional disaggregated information is presented in Notes 7, 8 and 9.</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Use of Estimates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preparation of consolidated financial statements in conformity with GAAP requires management to make estimates and assumptions that affect the amounts reported in the consolidated financial statements and accompanying notes. Significant estimates include, among others, liabilities for future policy benefits, unpaid claims and claim adjustment expenses, reinsurance recoverables, deferred policy acquisition costs, the valuation and impairment of investments, and deferred income taxes. These estimates and assumptions are based on information available as of the date of the consolidated financial statements and are reviewed periodically as additional information becomes available. Changes in estimates are recognized in the period in which they are determined. Actual results could differ from these estimates.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Summary of Significant Accounting Policies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Cash and Cash Equivalents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 and cash equivalents consist of cash on hand and investments in short-term, highly liquid securities with original maturities of three months or less from date of purchase.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i/>
          <w:sz w:val="20"/>
        </w:rPr>
      </w:pPr>
      <w:r>
        <w:rPr>
          <w:rFonts w:ascii="Times New Roman" w:hAnsi="Times New Roman"/>
          <w:b/>
          <w:i/>
          <w:sz w:val="20"/>
        </w:rPr>
        <w:t>Investments</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i/>
          <w:sz w:val="20"/>
        </w:rPr>
        <w:t>Fixed Maturity and Equity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investments in fixed maturity securities, which include bonds and redeemable preferred stocks, are classified as “available-for-sale” and, accordingly, are carried at fair value with the after-tax difference from amortized cost, less allowance for credit losses (“ACL”), as adjusted if applicable, reflected in shareholders’ equity as a component of accumulated other comprehensive income or loss (“AOCI”). The Company’s equity securities, which include common and non-redeemable preferred stocks, are carried at fair value with changes in fair value reported in net income. The fair values of fixed maturity securities and equity securities are largely determined from publicly quoted market prices, when available, or independent broker quotations. Values that are not determined using quoted market prices inherently involve a greater degree of judgment and uncertainty and therefore ultimately greater price volatility than the value of securities with publicly quoted market prices.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Income from investments is recorded in net investment income on the Consolidated Statement of Operations. Gains and losses from sales, maturities, or other redemptions of investments are recorded in realized investment gains (losses). Gains and losses on the disposition of investments are determined on a specific identification basis. Interest income and prepayment fees are recognized when earned.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Premiums and discounts related to investments are amortized or accreted over the life of the related investment as an adjustment to yield using the effective interest method. Dividends and interest income are recognized when earned or declared. The cost of securities sold is based on specific identification. Unrealized gains (losses) in the value of fixed maturity securities are accounted for as a direct increase (decrease) in Other Comprehensive Income (“OCI”), net of deferred tax and, accordingly, have no effect on net income.</w:t>
      </w:r>
    </w:p>
    <w:p>
      <w:pPr>
        <w:pStyle w:val="TextBody"/>
        <w:bidi w:val="0"/>
        <w:spacing w:before="0" w:after="0"/>
        <w:jc w:val="left"/>
        <w:rPr/>
      </w:pPr>
      <w:r>
        <w:rPr/>
      </w:r>
    </w:p>
    <w:p>
      <w:pPr>
        <w:pStyle w:val="TextBody"/>
        <w:bidi w:val="0"/>
        <w:spacing w:before="0" w:after="0"/>
        <w:jc w:val="left"/>
        <w:rPr/>
      </w:pPr>
      <w:r>
        <w:rPr/>
        <w:t> </w:t>
      </w:r>
      <w:r>
        <w:rPr>
          <w:rFonts w:ascii="Times New Roman" w:hAnsi="Times New Roman"/>
          <w:b/>
          <w:i/>
          <w:sz w:val="20"/>
        </w:rPr>
        <w:t>Policy Loans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Policy loans are carried at unpaid principal balance and are fully collateralized by the cash surrender value of the underlying insurance contract. Interest income is recorded as earned using the contractual interest rate, in net investment income in the Consolidated Statement of Operations.</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Variable Interest Entities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holds passive interests in certain limited partnerships, limited liability companies and unconsolidated trusts that are considered variable interest entities (“VIEs”). Because the Company does not have the power to direct the activities that most significantly affect the economic performance of these entities, it is not the primary beneficiary and does not consolidate the VIEs. The limited partnership and limited liability company interests are accounted for using the equity method and presented as a single investment balance within other invested assets in the Consolidated Balance Sheets. Each investment is initially recorded at cost and subsequently increased or decreased for the Company’s allocable share of the investee’s net income or loss, which is recognized in net investment income in the Consolidated Statements of Operations. Contributions increase the carrying amount of the investment, while distributions generally reduce it. Investee results are recorded using the most recent financial information available, generally on a same-period basis with adjustments for material intervening events when necessary. Investments in unconsolidated trusts are presented separately in the Consolidated Balance Sheets and are carried at cost. The Company’s maximum exposure to loss generally consists of the carrying amounts of its investments and related unfunded commitments, and the Company has no obligation to provide financial support beyond those commitments. The Company evaluates its equity-method investments for impairment at least quarterly and recognizes any other-than-temporary decline in value as a reduction of the investment’s carrying amount and a charge to net investment income.</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i/>
          <w:sz w:val="20"/>
        </w:rPr>
        <w:t>Reinsurance</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sz w:val="20"/>
        </w:rPr>
        <w:t>The Company purchases reinsurance from unaffiliated reinsurers to reduce exposure to significant individual risks and catastrophic events. The Reinsurance arrangements do not legally discharge the insurer from primary liability for the full amount of the policies written by it, and the ceding company will incur a loss if the reinsurer fails to meet its obligations under the reinsurance agreement. In order to qualify for reinsurance accounting treatment, there must be a risk transfer.</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sz w:val="20"/>
        </w:rPr>
        <w:t>Insurance liabilities are reported gross of reinsurance. Amounts recoverable from reinsurers are recognized separately as reinsurance recoverables and are reduced by an allowance for expected credit losses. The allowance reflects management’s estimate of amounts that may not be collected and considers the financial condition of reinsurers, historical collection experience, current conditions, reasonable and supportable forecasts, collateral and other relevant factors.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ceded long-duration insurance contracts, reinsurance recoverables are measured using assumptions consistent with those used to measure the underlying direct insurance contracts, adjusted for the terms and conditions of the applicable reinsurance agreements. Changes resulting from actual experience and updates to future cash-flow assumptions are recognized in earnings. Effects attributable solely to changes in current discount rates are recognized in other comprehensive income. Bankers Fidelity has entered reinsurance contracts ceding a proportionate share of new Medicare Supplement business and the excess of its life retention to General Re Life Corporation. Ceding thresholds are set for all policies issued in a given calendar year.</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ceded short-duration insurance contracts, ceded premiums are recognized as a reduction of premium revenue over the coverage period in proportion to the insurance protection provided. Amounts recoverable for ceded claims and claim adjustment expenses are recognized as reductions of the related benefits and claims expense. Ceded unearned premiums and recoverables for unpaid claims are included in reinsurance recoverables. American Southern’s basic reinsurance treaties generally cover all claims in excess of specified per occurrence limitations.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Insurance Premiums and Other Receivables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premiums and other receivables are reported at the amounts expected to be collected, net of allowances for expected credit losses. The allowance is estimated using historical collection experience, current conditions, reasonable and supportable forecasts and information specific to individual insureds, agents and other counterparties. Receivables are written off when they are determined to be uncollectible. Recoveries of amounts previously written off are recognized when received.</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Deferred Acquisition Costs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Deferred Acquisition Costs (“DAC”) represent commissions, premium taxes and other incremental direct costs that result directly from and are essential to the successful acquisition of insurance contracts and would not have been incurred had the contracts not been issued.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Long-Duration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long-duration contracts is grouped on a basis consistent with the related insurance contracts and amortized on a constant-level basis over the expected term of those contracts. The expected remaining term is calculated based on assumptions of expected mortality, lapses, and other contract terminations that are consistent with the assumptions used to measure the related liability for future policy benefits.  These assumptions are reviewed at least annually and are updated as warranted whenever experience changes significantly. Actual contract terminations are reflected in the amortization calculation when they occur.</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Short-Duration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short-duration contracts is amortized over the related coverage period in proportion to premium revenue recognized. The Company evaluates the recoverability of short-duration DAC when indications exist that expected claims, claim adjustment expenses, maintenance costs and other related expenses may exceed anticipated premium revenue. If a premium deficiency exists, DAC is reduced to the extent necessary, and an additional liability is recognized for any remaining deficiency.</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Intangibles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Intangibles consist of goodwill and other indefinite-lived intangible assets. Goodwill represents the excess of cost over the fair value of net assets acquired and is not amortized. Other indefinite-lived intangibles represent the value of licenses and are not amortized. The Company periodically reviews its goodwill and other indefinite-lived intangibles to determine if any adverse conditions exist that could indicate impairment. Conditions that could trigger impairment include, but are not limited to, a significant change in business climate that could affect the value of the related asset, an adverse action, or an assessment by a regulator. No impairment of the Company’s recorded intangibles was identified during any of the periods presented.</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i/>
          <w:sz w:val="20"/>
        </w:rPr>
        <w:t>Leases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determines whether an arrangement contains a lease at contract inception. Right-of-use assets and lease liabilities for operating leases are recognized at the lease commencement date. Lease liabilities are measured at the present value of fixed lease payments over the lease term. The Company uses the rate implicit in the lease when that rate is readily determinable; otherwise, it uses its incremental borrowing rate at lease commencement.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lease term includes renewal and termination options when the Company is reasonably certain to exercise those options. Operating lease expense is recognized on a straight-line basis over the lease term. Operating lease right-of-use assets are included in other assets, and operating lease liabilities are included in other liabilities in the Consolidated Balance Sheets.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Policy Benefits, Claims and Insurance 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reserves represent management’s estimates of the Company’s obligations under insurance and investment contracts in force as of the balance sheet date. These reserves principally include the Liability for Future Policy Benefits (“LFPB”) under long-duration contracts, deposit liabilities associated with investment contracts, and liabilities for unpaid claims and claim-related expenses under both short and long-duration insurance contracts.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long-duration insurance contracts, the LFPB includes the present value of expected future policy benefits and related expenses, less the present value of expected future net premiums. The LFPB also includes liabilities associated with claims incurred for long-duration contracts, including reported claims, claims incurred but not reported (“IBNR”), claims in the course of settlement and related claim adjustment expenses. Accordingly, claim liabilities associated with Medicare Supplement, life and other long-duration accident and health products are included in LFPB and the liability for losses and claims in the Consolidated Balance Sheet.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short-duration insurance contracts, liabilities for unpaid claims and claim adjustment expenses relate to insured events that have occurred on or before the balance sheet date and include reported claims, expected development on reported claims, IBNR and related claim adjustment expenses. These liabilities are reported within losses and claims in the Consolidated Balance Sheets.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liabilities are reported gross of reinsurance, and amounts recoverable from reinsurers are reported separately as an asset within reinsurance receivables in the Consolidated Balance Sheet. The use of reinsurance does not relieve the Company of its obligations to policyholders.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Long-Duration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long-duration contracts principally include individual life, group whole life, Medicare Supplement and certain guaranteed-renewable individual accident and health insurance products. The LFPB is measured at the cohort level as the present value of expected future benefit payments and related claim expenses, less the present value of expected future net premiums. Expected future cash flows are projected through the period in which the related contracts are expected to remain in force. Such liabilities are established based on methods and underlying assumptions in accordance with GAAP and applicable actuarial standards.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Cash-flow assumptions are incorporated into the calculation of a cohort and include mortality, morbidity, policyholder lapses and other termination rates, claim costs, loss ratios, anticipated premium-rate increases and expenses. For life insurance products, significant assumptions principally include mortality and voluntary lapses. For Medicare Supplement products, significant assumptions principally include incurred loss ratios, anticipated premium-rate increases and total termination rates. For other long-duration accident and health products, significant assumptions principally include claim costs and total termination rates. These assumptions reflect management’s current best estimates of future experience without provision for adverse deviation and are based on Company experience, relevant industry data and anticipated future trends.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Actual experience through the reporting date is incorporated into the measurement each reporting period. Assumptions regarding future cash flows are reviewed at least annually and updated more frequently when evidence indicates that revisions are warranted. Differences between actual and expected experience and changes in future cash-flow assumptions are recognized in earnings as remeasurement gains or losses within insurance benefits and losses incurred in the Consolidated Statement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also has a block of annuity contracts under which amounts payable upon death, accident or sickness do not exceed the contract holder’s accumulated account value. Because these contracts do not expose the Company to significant mortality or morbidity risk, they are accounted for as investment contracts rather than long-duration insurance contracts. The related liability is measured based on accumulated contract holder account values, including credited interest, and is not included in the LFPB measurement under the long-duration insurance accounting model. The investment-contract liability, which was approximately $4,600 at December 31, 2025, is included in other policy liabilities in the Consolidated Balance Sheets.</w:t>
      </w:r>
    </w:p>
    <w:p>
      <w:pPr>
        <w:pStyle w:val="TextBody"/>
        <w:bidi w:val="0"/>
        <w:spacing w:before="0" w:after="0"/>
        <w:jc w:val="both"/>
        <w:rPr/>
      </w:pPr>
      <w:r>
        <w:rPr/>
        <w:t> </w:t>
      </w:r>
    </w:p>
    <w:p>
      <w:pPr>
        <w:pStyle w:val="TextBody"/>
        <w:bidi w:val="0"/>
        <w:spacing w:before="0" w:after="0"/>
        <w:ind w:left="720" w:right="0" w:firstLine="720"/>
        <w:jc w:val="both"/>
        <w:rPr>
          <w:rFonts w:ascii="Times New Roman" w:hAnsi="Times New Roman"/>
          <w:b/>
          <w:i/>
          <w:sz w:val="20"/>
        </w:rPr>
      </w:pPr>
      <w:r>
        <w:rPr>
          <w:rFonts w:ascii="Times New Roman" w:hAnsi="Times New Roman"/>
          <w:b/>
          <w:i/>
          <w:sz w:val="20"/>
        </w:rPr>
        <w:t>Policy Grouping and Net Premium Ratio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Long-duration insurance contracts are grouped into cohorts based on product line and issue year, with no cohort containing contracts issued more than one year apart. The net premium ratio (“NPR”) is the ratio of the present value of expected future benefits and related claim expenses to the present value of expected future gross premiums. The NPR used to accrue the LFPB in each period is determined by using the historical and present value of expected future benefits and claim settlement expenses for the cohort divided by the historical and present value of expected future gross premiums for the cohort. For contracts in force at the Transition Date, the NPR reflects the applicable carrying amount under the Company’s modified retrospective transition method. For contracts issued after the Transition Date, the NPR is established based on expected benefits, related expenses and gross premiums as of the applicable contract issue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each reporting date, actual experience is incorporated into the calculation, and the NPR is recalculated using actual experience and current assumptions about future cash flows. The NPR is capped at 100%. If the calculated NPR for a cohort exceeds 100%, the Company increases the LFPB by the amount necessary to reduce the NPR to 100% and recognizes the resulting loss immediately in earnings. The LFPB for an individual cohort may not be less than zero. Flooring adjustments are necessary when the present value of future net premiums exceeds the present value of future benefits for a given cohort. The flooring adjustment is the total of the flooring adjustments for each cohort, if any. These adjustments ensure that the liability for future policy benefits is at least zero for all cohorts.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Changes in the LFPB as a result of changes in the current discount rates are recognized separately in OCI and do not affect the NPR.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i/>
          <w:sz w:val="20"/>
        </w:rPr>
      </w:pPr>
      <w:r>
        <w:rPr>
          <w:rFonts w:ascii="Times New Roman" w:hAnsi="Times New Roman"/>
          <w:b/>
          <w:i/>
          <w:sz w:val="20"/>
        </w:rPr>
        <w:t>Discount Rates on Long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uses two discount-rate bases in measuring LFPB:</w:t>
      </w:r>
    </w:p>
    <w:p>
      <w:pPr>
        <w:pStyle w:val="TextBody"/>
        <w:bidi w:val="0"/>
        <w:spacing w:before="0" w:after="0"/>
        <w:jc w:val="left"/>
        <w:rPr/>
      </w:pPr>
      <w:r>
        <w:rPr/>
      </w:r>
    </w:p>
    <w:p>
      <w:pPr>
        <w:pStyle w:val="TextBody"/>
        <w:bidi w:val="0"/>
        <w:spacing w:before="0" w:after="0"/>
        <w:ind w:left="720" w:right="0" w:hanging="0"/>
        <w:jc w:val="both"/>
        <w:rPr/>
      </w:pPr>
      <w:r>
        <w:rPr/>
        <w:t xml:space="preserve">● </w:t>
      </w:r>
      <w:r>
        <w:rPr>
          <w:rFonts w:ascii="Times New Roman" w:hAnsi="Times New Roman"/>
          <w:sz w:val="20"/>
        </w:rPr>
        <w:t>Locked</w:t>
        <w:noBreakHyphen/>
        <w:t>in discount rate – For contracts issued before the Transition Date, the cohort-level locked-in discount rate reflects the historical interest-accretion rates used to measure the contracts under previous GAAP. For contracts issued after the Transition Date, the locked-in discount rate is based on the upper-medium-grade fixed-income instrument yield applicable when the underlying contracts are issued. The locked-in discount rate is used to calculate the net premium ratio, interest accretion and remeasurement gains or losses recognized in earnings.</w:t>
      </w:r>
    </w:p>
    <w:p>
      <w:pPr>
        <w:pStyle w:val="TextBody"/>
        <w:bidi w:val="0"/>
        <w:spacing w:before="0" w:after="0"/>
        <w:jc w:val="left"/>
        <w:rPr/>
      </w:pPr>
      <w:r>
        <w:rPr/>
      </w:r>
    </w:p>
    <w:p>
      <w:pPr>
        <w:pStyle w:val="TextBody"/>
        <w:bidi w:val="0"/>
        <w:spacing w:before="0" w:after="0"/>
        <w:ind w:left="720" w:right="0" w:hanging="0"/>
        <w:jc w:val="both"/>
        <w:rPr/>
      </w:pPr>
      <w:r>
        <w:rPr/>
        <w:t xml:space="preserve">● </w:t>
      </w:r>
      <w:r>
        <w:rPr>
          <w:rFonts w:ascii="Times New Roman" w:hAnsi="Times New Roman"/>
          <w:sz w:val="20"/>
        </w:rPr>
        <w:t>Current discount rate – At each reporting date, the Company remeasures the LFPB using a current discount-rate curve based on yields for upper-medium-grade, or single-A, corporate fixed-income instruments. The curve is constructed to reflect the duration characteristics of the related liabilities and is updated quarterly. Observable market information is used for durations of up to 50 years. For projected cash flows beyond the last observable point, the Company holds the yield at the 50-year point constant.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difference between the liability measured using the current discount rate and the liability measured using the locked-in discount rate is recognized in OCI. Changes in the current discount rate do not affect the net premium ratio or the remeasurement gains or losses recognized in earnings.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Short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short-duration insurance contracts principally include property and casualty insurance products and group accident and health products for which the Company generally has the unilateral right to terminate the group policy at an annual renewal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Liabilities for unpaid claims and claim adjustment expenses under short-duration contracts include estimates for reported claims and IBNR. The liabilities are established using actuarial methods applied to historical claim-development experience, expected loss ratios, claim frequency and severity trends and other relevant information. The estimates are reviewed each reporting period, and changes in estimated ultimate losses and claim adjustment expenses are recognized in earnings in the period in which the estimates are revised. Because these estimates are subject to significant uncertainty, actual claim payments may differ from the amounts recorded.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also evaluates its short-duration insurance contracts for premium deficiencies. A premium deficiency exists when expected claims costs, claim adjustment expenses, policy maintenance costs and unamortized acquisition costs exceed the related unearned premiums and anticipated investment income. If a premium deficiency is identified, the Company first reduces the related DAC.</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Treasury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Treasury stock is reflected as a reduction of shareholders’ equity at cost. The Company uses the first-in-first-out purchase cost to determine the cost of treasury stock that is reissued. The Company includes any gains and losses in additional paid-in capital when treasury stock is reissued.</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Premium Revenue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Short Duration Contracts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Premiums for short-duration insurance contracts are recognized as revenue over the coverage period in proportion to the insurance protection provided. Unearned premiums represent the portion of premiums written applicable to coverage periods after the balance sheet date and are reported as liabilities until earned.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property and casualty contracts provide for retrospective premium adjustments based on the insured’s loss experience or other contractual criteria. Under these arrangements, additional premiums may be billed to or refunded to policyholders based on actual loss experience relative to contractual thresholds. Estimated retrospective premiums are recognized over the contract period based on experience to date and the terms of the underlying contracts. Estimates are revised as additional information becomes available, with resulting adjustments recognized in premium revenue in the period of revision.</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Premium revenue is presented net of premiums ceded under reinsurance agreements.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Long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Premiums for nonparticipating long-duration insurance contracts are recognized as revenue when due from policyholders. Premiums received before their contractual due dates are reported as advance premiums and reported within other policyholder liabilities on the Consolidated Balance Sheets. These amounts are recognized as premium revenue when they become due under the terms of the related insurance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Amounts received under annuity and other investment contracts that do not subject the Company to significant mortality or morbidity risk are reported as deposits within policyholder account balances rather than as premium revenue. Interest credited to policyholder account balances is recognized in benefits and other changes in policy 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Premium revenue is presented net of premiums ceded under reinsurance agreements. </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Income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Deferred income taxes represent the expected future tax consequences when the reported amounts of assets and liabilities are recovered or paid. They arise from differences between the financial reporting and tax basis of assets and liabilities and are adjusted for changes in tax laws and tax rates as those changes are enacted. The provision for income taxes represents the total amount of income taxes due related to the current year, plus the change in deferred income taxes during the year. A valuation allowance is recognized if, based on management’s assessment of the relevant facts, it is more likely than not that some portion of a deferred tax asset will not be realized.</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Earnings Per Common Share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Basic earnings per common share are based on the weighted average number of common and participating shares outstanding during the relevant period. Diluted earnings per common share are based on the weighted average number of common and participating shares outstanding during the relevant period, plus options outstanding, if applicable, using the treasury stock method and the assumed conversion of the Series D preferred stock, if dilutive. Unless otherwise indicated, earnings per common share amounts are presented on a diluted basis. </w:t>
      </w:r>
    </w:p>
    <w:p>
      <w:pPr>
        <w:pStyle w:val="TextBody"/>
        <w:bidi w:val="0"/>
        <w:spacing w:before="200" w:after="200"/>
        <w:jc w:val="left"/>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b/>
          <w:i/>
          <w:spacing w:val="0"/>
          <w:sz w:val="20"/>
        </w:rPr>
      </w:pPr>
      <w:r>
        <w:rPr>
          <w:rFonts w:ascii="Times New Roman" w:hAnsi="Times New Roman"/>
          <w:b/>
          <w:i/>
          <w:spacing w:val="0"/>
          <w:sz w:val="20"/>
        </w:rPr>
        <w:t>Revision of Previously Issued Financial Statements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b/>
          <w:i/>
          <w:color w:val="000000"/>
          <w:sz w:val="20"/>
        </w:rPr>
      </w:pPr>
      <w:r>
        <w:rPr>
          <w:rFonts w:ascii="Times New Roman" w:hAnsi="Times New Roman"/>
          <w:b/>
          <w:i/>
          <w:color w:val="000000"/>
          <w:sz w:val="20"/>
        </w:rPr>
        <w:t>Nature of the Errors</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Management identified deficiencies in the design and operating effectiveness of controls over the recording and reconciliation of premium receivables and the application of premium payments held in suspense within the Company’s group whole life and group accident and health business.</w:t>
      </w:r>
    </w:p>
    <w:p>
      <w:pPr>
        <w:pStyle w:val="TextBody"/>
        <w:bidi w:val="0"/>
        <w:spacing w:before="0" w:after="0"/>
        <w:ind w:left="0" w:right="0" w:hanging="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The Company did not design and maintain effective controls to timely and accurately reconcile enrollment, billing and cash receipt information at the individual policyholder level and to resolve differences among third-party enrollment data, the policy administration system and the general ledger.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a result, the Company did not maintain controls operating at a sufficient level of precision to determine whether recorded premium receivables were valid, whether amounts held in suspense should be applied to individual policyholders or otherwise recognized, and whether the related amounts were recorded in the appropriate period and were appropriately classified in the consolidated financial statements. As a result, the Company has revised its previously reported 2024 financial information to remove the affected receivables and premium revenue.</w:t>
      </w:r>
    </w:p>
    <w:p>
      <w:pPr>
        <w:pStyle w:val="TextBody"/>
        <w:bidi w:val="0"/>
        <w:spacing w:before="0" w:after="0"/>
        <w:jc w:val="left"/>
        <w:rPr/>
      </w:pPr>
      <w:r>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Errors attributable to periods before January 1, 2024 were reflected as adjustments to the affected balance-sheet accounts and retained earnings as of December 31, 2023. Errors attributable to 2024 are reflected in the Company’s 2024 results of operations.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firstLine="720"/>
        <w:jc w:val="both"/>
        <w:rPr>
          <w:rFonts w:ascii="Times New Roman" w:hAnsi="Times New Roman"/>
          <w:b/>
          <w:i/>
          <w:color w:val="000000"/>
          <w:sz w:val="20"/>
        </w:rPr>
      </w:pPr>
      <w:r>
        <w:rPr>
          <w:rFonts w:ascii="Times New Roman" w:hAnsi="Times New Roman"/>
          <w:b/>
          <w:i/>
          <w:color w:val="000000"/>
          <w:sz w:val="20"/>
        </w:rPr>
        <w:t>Effect of the Corrections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As of December 31, 2024, the cumulative corrections: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insurance premiums and other receivables by approximately $5,580;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increased deferred income tax, net by approximately $1,172;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accounts payable and accrued expenses by approximately $2,923;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retained earnings by approximately $1,485.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insurance premium, net and income (loss) before income taxes by $351; and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increased net loss by $277.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For the year ended December 31, 2024, the corrections reduced insurance premiums, net, and increased loss before income taxes by approximately $351,000, increased the income tax benefit by approximately $74,000, and increased net loss by approximately $277,000. The corrections reduced basic and diluted earnings per common share by approximately $0.02.</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corrections also affected certain components of the reconciliation of net income to net cash provided by operating activities. They did not affect the Company’s cash and cash equivalents or net cash provided by operating activities, net cash used in investing activities, or net cash provided by financing activities.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firstLine="540"/>
        <w:jc w:val="both"/>
        <w:rPr>
          <w:rFonts w:ascii="Times New Roman" w:hAnsi="Times New Roman"/>
          <w:b/>
          <w:i/>
          <w:sz w:val="20"/>
        </w:rPr>
      </w:pPr>
      <w:r>
        <w:rPr>
          <w:rFonts w:ascii="Times New Roman" w:hAnsi="Times New Roman"/>
          <w:b/>
          <w:i/>
          <w:sz w:val="20"/>
        </w:rPr>
        <w:t>Materiality assessment</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 xml:space="preserve">The Company evaluated the errors in accordance with ASC Topic 250, </w:t>
      </w:r>
      <w:r>
        <w:rPr>
          <w:rFonts w:ascii="Times New Roman" w:hAnsi="Times New Roman"/>
          <w:i/>
          <w:color w:val="000000"/>
          <w:sz w:val="20"/>
        </w:rPr>
        <w:t>Accounting Changes and Error Corrections</w:t>
      </w:r>
      <w:r>
        <w:rPr>
          <w:rFonts w:ascii="Times New Roman" w:hAnsi="Times New Roman"/>
          <w:color w:val="000000"/>
          <w:sz w:val="20"/>
        </w:rPr>
        <w:t xml:space="preserve">, and considered both quantitative and qualitative factors, including the guidance in Staff Accounting Bulletin (“SAB”) No. 99, </w:t>
      </w:r>
      <w:r>
        <w:rPr>
          <w:rFonts w:ascii="Times New Roman" w:hAnsi="Times New Roman"/>
          <w:i/>
          <w:color w:val="000000"/>
          <w:sz w:val="20"/>
        </w:rPr>
        <w:t>Materiality</w:t>
      </w:r>
      <w:r>
        <w:rPr>
          <w:rFonts w:ascii="Times New Roman" w:hAnsi="Times New Roman"/>
          <w:color w:val="000000"/>
          <w:sz w:val="20"/>
        </w:rPr>
        <w:t xml:space="preserve">, and SAB No. 108, </w:t>
      </w:r>
      <w:r>
        <w:rPr>
          <w:rFonts w:ascii="Times New Roman" w:hAnsi="Times New Roman"/>
          <w:i/>
          <w:color w:val="000000"/>
          <w:sz w:val="20"/>
        </w:rPr>
        <w:t>Considering the Effects of Prior Year Misstatements When Quantifying Misstatements in Current Year Financial Statements</w:t>
      </w:r>
      <w:r>
        <w:rPr>
          <w:rFonts w:ascii="Times New Roman" w:hAnsi="Times New Roman"/>
          <w:color w:val="000000"/>
          <w:sz w:val="20"/>
        </w:rPr>
        <w:t>. The Company quantified the errors under both the rollover and iron-curtain methods and evaluated the errors individually and in the aggregate with other identified misstatements.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this evaluation, management concluded that the errors were not material, individually or in the aggregate, to any of the Company’s previously issued annual or interim financial statements affected by the errors. Management further concluded that correcting the cumulative errors entirely in the consolidated statement of operations for the year ended December 31, 2025 would materially misstate the Company’s 2025 results of operations. Accordingly, the Company revised the comparative 2024 financial information and the applicable opening balances as of January 1, 2024 presented in these consolidated financial statements.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Company did not amend its previously filed Annual Report on Form 10-K for the year ended December 31, 2024. The due-premium error-correction adjustments are presented separately from the adjustments resulting from the Company’s adoption of LDTI.</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following table represents a summary of the impacts of the revision at </w:t>
      </w:r>
      <w:r>
        <w:rPr>
          <w:rFonts w:ascii="Times New Roman" w:hAnsi="Times New Roman"/>
          <w:spacing w:val="0"/>
          <w:sz w:val="20"/>
        </w:rPr>
        <w:t>December 31</w:t>
      </w:r>
      <w:r>
        <w:rPr>
          <w:rFonts w:ascii="Times New Roman" w:hAnsi="Times New Roman"/>
          <w:sz w:val="20"/>
        </w:rPr>
        <w:t xml:space="preserve">, 2023.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241"/>
        <w:gridCol w:w="90"/>
        <w:gridCol w:w="353"/>
        <w:gridCol w:w="1685"/>
        <w:gridCol w:w="90"/>
        <w:gridCol w:w="90"/>
        <w:gridCol w:w="311"/>
        <w:gridCol w:w="1218"/>
        <w:gridCol w:w="185"/>
        <w:gridCol w:w="90"/>
        <w:gridCol w:w="290"/>
        <w:gridCol w:w="1423"/>
        <w:gridCol w:w="139"/>
      </w:tblGrid>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038"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2023</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9"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13" w:type="dxa"/>
            <w:gridSpan w:val="2"/>
            <w:tcBorders>
              <w:bottom w:val="single" w:sz="12" w:space="0" w:color="000000"/>
            </w:tcBorders>
            <w:tcMar>
              <w:bottom w:w="28" w:type="dxa"/>
            </w:tcMar>
            <w:vAlign w:val="center"/>
          </w:tcPr>
          <w:p>
            <w:pPr>
              <w:pStyle w:val="TableContents"/>
              <w:bidi w:val="0"/>
              <w:spacing w:before="0" w:after="283"/>
              <w:jc w:val="center"/>
              <w:rPr/>
            </w:pPr>
            <w:r>
              <w:rPr>
                <w:b/>
                <w:spacing w:val="0"/>
              </w:rPr>
              <w:t>December 31, 2023</w:t>
            </w:r>
            <w:r>
              <w:rPr/>
              <w:t xml:space="preserve"> </w:t>
            </w:r>
          </w:p>
        </w:tc>
        <w:tc>
          <w:tcPr>
            <w:tcW w:w="139" w:type="dxa"/>
            <w:tcBorders/>
            <w:vAlign w:val="center"/>
          </w:tcPr>
          <w:p>
            <w:pPr>
              <w:pStyle w:val="TableContents"/>
              <w:bidi w:val="0"/>
              <w:spacing w:before="0" w:after="283"/>
              <w:jc w:val="center"/>
              <w:rPr/>
            </w:pPr>
            <w:r>
              <w:rPr/>
              <w:t> </w:t>
            </w:r>
          </w:p>
        </w:tc>
      </w:tr>
      <w:tr>
        <w:trPr/>
        <w:tc>
          <w:tcPr>
            <w:tcW w:w="424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038"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13"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39" w:type="dxa"/>
            <w:tcBorders/>
            <w:vAlign w:val="center"/>
          </w:tcPr>
          <w:p>
            <w:pPr>
              <w:pStyle w:val="TableContents"/>
              <w:bidi w:val="0"/>
              <w:spacing w:before="0" w:after="283"/>
              <w:jc w:val="center"/>
              <w:rPr/>
            </w:pPr>
            <w:r>
              <w:rPr/>
              <w:t> </w:t>
            </w:r>
          </w:p>
        </w:tc>
      </w:tr>
      <w:tr>
        <w:trPr/>
        <w:tc>
          <w:tcPr>
            <w:tcW w:w="4241" w:type="dxa"/>
            <w:tcBorders/>
            <w:vAlign w:val="center"/>
          </w:tcPr>
          <w:p>
            <w:pPr>
              <w:pStyle w:val="TableContents"/>
              <w:bidi w:val="0"/>
              <w:spacing w:before="0" w:after="283"/>
              <w:jc w:val="both"/>
              <w:rPr/>
            </w:pPr>
            <w:r>
              <w:rPr/>
              <w:t> </w:t>
            </w:r>
          </w:p>
        </w:tc>
        <w:tc>
          <w:tcPr>
            <w:tcW w:w="5964" w:type="dxa"/>
            <w:gridSpan w:val="12"/>
            <w:tcBorders/>
            <w:vAlign w:val="center"/>
          </w:tcPr>
          <w:p>
            <w:pPr>
              <w:pStyle w:val="TableContents"/>
              <w:bidi w:val="0"/>
              <w:spacing w:before="0" w:after="283"/>
              <w:jc w:val="center"/>
              <w:rPr/>
            </w:pPr>
            <w:r>
              <w:rPr/>
              <w:t xml:space="preserve">(In thousands) </w:t>
            </w:r>
          </w:p>
        </w:tc>
      </w:tr>
      <w:tr>
        <w:trPr/>
        <w:tc>
          <w:tcPr>
            <w:tcW w:w="4241" w:type="dxa"/>
            <w:tcBorders/>
            <w:vAlign w:val="center"/>
          </w:tcPr>
          <w:p>
            <w:pPr>
              <w:pStyle w:val="TableContents"/>
              <w:bidi w:val="0"/>
              <w:spacing w:before="0" w:after="0"/>
              <w:ind w:left="0" w:right="0" w:hanging="144"/>
              <w:jc w:val="center"/>
              <w:rPr/>
            </w:pPr>
            <w:r>
              <w:rPr>
                <w:b/>
              </w:rPr>
              <w:t>ASSETS</w:t>
            </w:r>
            <w:r>
              <w:rPr/>
              <w:t xml:space="preserve">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Receivables: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Insurance premiums and other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23,690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(3,457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20,233</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Deferred income taxes, net </w:t>
            </w:r>
          </w:p>
        </w:tc>
        <w:tc>
          <w:tcPr>
            <w:tcW w:w="90" w:type="dxa"/>
            <w:tcBorders/>
            <w:vAlign w:val="center"/>
          </w:tcPr>
          <w:p>
            <w:pPr>
              <w:pStyle w:val="TableContents"/>
              <w:bidi w:val="0"/>
              <w:spacing w:before="0" w:after="283"/>
              <w:jc w:val="righ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15,682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726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16,408</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Total assets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381,265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(2,731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378,534</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center"/>
              <w:rPr/>
            </w:pPr>
            <w:r>
              <w:rPr>
                <w:b/>
              </w:rPr>
              <w:t>LIABILITIES AND SHAREHOLDERS’ EQUITY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Accounts payable and accrued expenses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24,811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(1,523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23,288</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Total liabilities </w:t>
            </w:r>
          </w:p>
        </w:tc>
        <w:tc>
          <w:tcPr>
            <w:tcW w:w="90" w:type="dxa"/>
            <w:tcBorders/>
            <w:vAlign w:val="center"/>
          </w:tcPr>
          <w:p>
            <w:pPr>
              <w:pStyle w:val="TableContents"/>
              <w:bidi w:val="0"/>
              <w:spacing w:before="0" w:after="283"/>
              <w:jc w:val="righ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273,990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(1,523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272,467</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Shareholders’ equity: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Retained earnings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50,929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(1,208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49,721</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Total shareholders’ equity </w:t>
            </w:r>
          </w:p>
        </w:tc>
        <w:tc>
          <w:tcPr>
            <w:tcW w:w="90" w:type="dxa"/>
            <w:tcBorders/>
            <w:vAlign w:val="center"/>
          </w:tcPr>
          <w:p>
            <w:pPr>
              <w:pStyle w:val="TableContents"/>
              <w:bidi w:val="0"/>
              <w:spacing w:before="0" w:after="283"/>
              <w:jc w:val="righ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107,275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(1,208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106,067</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Total liabilities and shareholders’ equity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381,265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(2,731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378,534</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Balance Sheet at December 31, 2024.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560"/>
        <w:gridCol w:w="90"/>
        <w:gridCol w:w="368"/>
        <w:gridCol w:w="1803"/>
        <w:gridCol w:w="90"/>
        <w:gridCol w:w="90"/>
        <w:gridCol w:w="328"/>
        <w:gridCol w:w="1288"/>
        <w:gridCol w:w="185"/>
        <w:gridCol w:w="90"/>
        <w:gridCol w:w="199"/>
        <w:gridCol w:w="976"/>
        <w:gridCol w:w="138"/>
      </w:tblGrid>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both"/>
              <w:rPr/>
            </w:pPr>
            <w:r>
              <w:rPr/>
              <w:t> </w:t>
            </w:r>
          </w:p>
        </w:tc>
        <w:tc>
          <w:tcPr>
            <w:tcW w:w="5645" w:type="dxa"/>
            <w:gridSpan w:val="12"/>
            <w:tcBorders/>
            <w:vAlign w:val="center"/>
          </w:tcPr>
          <w:p>
            <w:pPr>
              <w:pStyle w:val="TableContents"/>
              <w:bidi w:val="0"/>
              <w:spacing w:before="0" w:after="283"/>
              <w:jc w:val="center"/>
              <w:rPr/>
            </w:pPr>
            <w:r>
              <w:rPr>
                <w:b/>
              </w:rPr>
              <w:t>December 31, 2024</w:t>
            </w:r>
            <w:r>
              <w:rPr/>
              <w:t xml:space="preserve"> </w:t>
            </w:r>
          </w:p>
        </w:tc>
      </w:tr>
      <w:tr>
        <w:trPr/>
        <w:tc>
          <w:tcPr>
            <w:tcW w:w="45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171"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38" w:type="dxa"/>
            <w:tcBorders/>
            <w:vAlign w:val="center"/>
          </w:tcPr>
          <w:p>
            <w:pPr>
              <w:pStyle w:val="TableContents"/>
              <w:bidi w:val="0"/>
              <w:spacing w:before="0" w:after="283"/>
              <w:jc w:val="center"/>
              <w:rPr/>
            </w:pPr>
            <w:r>
              <w:rPr/>
              <w:t> </w:t>
            </w:r>
          </w:p>
        </w:tc>
      </w:tr>
      <w:tr>
        <w:trPr/>
        <w:tc>
          <w:tcPr>
            <w:tcW w:w="4560" w:type="dxa"/>
            <w:tcBorders/>
            <w:vAlign w:val="center"/>
          </w:tcPr>
          <w:p>
            <w:pPr>
              <w:pStyle w:val="TableContents"/>
              <w:bidi w:val="0"/>
              <w:spacing w:before="0" w:after="283"/>
              <w:jc w:val="both"/>
              <w:rPr/>
            </w:pPr>
            <w:r>
              <w:rPr/>
              <w:t> </w:t>
            </w:r>
          </w:p>
        </w:tc>
        <w:tc>
          <w:tcPr>
            <w:tcW w:w="5645" w:type="dxa"/>
            <w:gridSpan w:val="12"/>
            <w:tcBorders/>
            <w:vAlign w:val="center"/>
          </w:tcPr>
          <w:p>
            <w:pPr>
              <w:pStyle w:val="TableContents"/>
              <w:bidi w:val="0"/>
              <w:spacing w:before="0" w:after="283"/>
              <w:jc w:val="center"/>
              <w:rPr/>
            </w:pPr>
            <w:r>
              <w:rPr/>
              <w:t xml:space="preserve">(In thousands) </w:t>
            </w:r>
          </w:p>
        </w:tc>
      </w:tr>
      <w:tr>
        <w:trPr/>
        <w:tc>
          <w:tcPr>
            <w:tcW w:w="4560" w:type="dxa"/>
            <w:tcBorders/>
            <w:vAlign w:val="center"/>
          </w:tcPr>
          <w:p>
            <w:pPr>
              <w:pStyle w:val="TableContents"/>
              <w:bidi w:val="0"/>
              <w:spacing w:before="0" w:after="0"/>
              <w:ind w:left="0" w:right="0" w:hanging="144"/>
              <w:jc w:val="left"/>
              <w:rPr/>
            </w:pPr>
            <w:r>
              <w:rPr>
                <w:b/>
              </w:rPr>
              <w:t>ASSETS</w:t>
            </w:r>
            <w:r>
              <w:rPr/>
              <w:t xml:space="preserve">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Receivables: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Insurance premiums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w:t>
            </w:r>
          </w:p>
        </w:tc>
        <w:tc>
          <w:tcPr>
            <w:tcW w:w="1803" w:type="dxa"/>
            <w:tcBorders/>
            <w:shd w:fill="CCEEFF" w:val="clear"/>
            <w:vAlign w:val="center"/>
          </w:tcPr>
          <w:p>
            <w:pPr>
              <w:pStyle w:val="TableContents"/>
              <w:bidi w:val="0"/>
              <w:spacing w:before="0" w:after="283"/>
              <w:jc w:val="right"/>
              <w:rPr/>
            </w:pPr>
            <w:r>
              <w:rPr/>
              <w:t>27,458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(5,580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21,878</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Deferred income taxes, net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right"/>
              <w:rPr/>
            </w:pPr>
            <w:r>
              <w:rPr/>
              <w:t>18,118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1,172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19,290</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Total assets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right"/>
              <w:rPr/>
            </w:pPr>
            <w:r>
              <w:rPr/>
              <w:t>393,428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(4,408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389,020</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b/>
              </w:rPr>
              <w:t>LIABILITIES AND SHAREHOLDERS’ EQUITY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Accounts payable and other accrued expenses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right"/>
              <w:rPr/>
            </w:pPr>
            <w:r>
              <w:rPr/>
              <w:t>30,948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(2,923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28,025</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Total liabilities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right"/>
              <w:rPr/>
            </w:pPr>
            <w:r>
              <w:rPr/>
              <w:t>293,815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(2,923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290,892</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Shareholders’ equity: </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Retained earnings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right"/>
              <w:rPr/>
            </w:pPr>
            <w:r>
              <w:rPr/>
              <w:t>45,854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(1,485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44,369</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Total shareholders’ equity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right"/>
              <w:rPr/>
            </w:pPr>
            <w:r>
              <w:rPr/>
              <w:t>99,613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(1,485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98,128</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Total liabilities and shareholders’ equity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w:t>
            </w:r>
          </w:p>
        </w:tc>
        <w:tc>
          <w:tcPr>
            <w:tcW w:w="1803" w:type="dxa"/>
            <w:tcBorders/>
            <w:vAlign w:val="center"/>
          </w:tcPr>
          <w:p>
            <w:pPr>
              <w:pStyle w:val="TableContents"/>
              <w:bidi w:val="0"/>
              <w:spacing w:before="0" w:after="283"/>
              <w:jc w:val="right"/>
              <w:rPr/>
            </w:pPr>
            <w:r>
              <w:rPr/>
              <w:t>393,428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(4,408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389,020</w:t>
            </w:r>
          </w:p>
        </w:tc>
        <w:tc>
          <w:tcPr>
            <w:tcW w:w="138"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 New Roman" w:hAnsi="Times New Roman"/>
          <w:sz w:val="20"/>
        </w:rPr>
        <w:t>The following table represents a summary of the impacts of the revision for the Statement of </w:t>
      </w:r>
      <w:r>
        <w:rPr>
          <w:rFonts w:ascii="Times New Roman" w:hAnsi="Times New Roman"/>
          <w:spacing w:val="0"/>
          <w:sz w:val="20"/>
        </w:rPr>
        <w:t>Operations for the year ended December 31, 2024.</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3975"/>
        <w:gridCol w:w="90"/>
        <w:gridCol w:w="405"/>
        <w:gridCol w:w="1983"/>
        <w:gridCol w:w="185"/>
        <w:gridCol w:w="90"/>
        <w:gridCol w:w="416"/>
        <w:gridCol w:w="1342"/>
        <w:gridCol w:w="185"/>
        <w:gridCol w:w="90"/>
        <w:gridCol w:w="205"/>
        <w:gridCol w:w="1006"/>
        <w:gridCol w:w="233"/>
      </w:tblGrid>
      <w:tr>
        <w:trPr/>
        <w:tc>
          <w:tcPr>
            <w:tcW w:w="3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283"/>
              <w:jc w:val="both"/>
              <w:rPr/>
            </w:pPr>
            <w:r>
              <w:rPr/>
              <w:t> </w:t>
            </w:r>
          </w:p>
        </w:tc>
        <w:tc>
          <w:tcPr>
            <w:tcW w:w="6230"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39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2388"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58"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33" w:type="dxa"/>
            <w:tcBorders/>
            <w:vAlign w:val="center"/>
          </w:tcPr>
          <w:p>
            <w:pPr>
              <w:pStyle w:val="TableContents"/>
              <w:bidi w:val="0"/>
              <w:spacing w:before="0" w:after="283"/>
              <w:jc w:val="center"/>
              <w:rPr/>
            </w:pPr>
            <w:r>
              <w:rPr/>
              <w:t> </w:t>
            </w:r>
          </w:p>
        </w:tc>
      </w:tr>
      <w:tr>
        <w:trPr/>
        <w:tc>
          <w:tcPr>
            <w:tcW w:w="3975" w:type="dxa"/>
            <w:tcBorders/>
            <w:vAlign w:val="center"/>
          </w:tcPr>
          <w:p>
            <w:pPr>
              <w:pStyle w:val="TableContents"/>
              <w:bidi w:val="0"/>
              <w:spacing w:before="0" w:after="283"/>
              <w:jc w:val="both"/>
              <w:rPr/>
            </w:pPr>
            <w:r>
              <w:rPr/>
              <w:t> </w:t>
            </w:r>
          </w:p>
        </w:tc>
        <w:tc>
          <w:tcPr>
            <w:tcW w:w="6230" w:type="dxa"/>
            <w:gridSpan w:val="12"/>
            <w:tcBorders/>
            <w:vAlign w:val="center"/>
          </w:tcPr>
          <w:p>
            <w:pPr>
              <w:pStyle w:val="TableContents"/>
              <w:bidi w:val="0"/>
              <w:spacing w:before="0" w:after="283"/>
              <w:jc w:val="center"/>
              <w:rPr/>
            </w:pPr>
            <w:r>
              <w:rPr/>
              <w:t xml:space="preserve">(In thousands, except share and per share data) </w:t>
            </w:r>
          </w:p>
        </w:tc>
      </w:tr>
      <w:tr>
        <w:trPr/>
        <w:tc>
          <w:tcPr>
            <w:tcW w:w="3975" w:type="dxa"/>
            <w:tcBorders/>
            <w:vAlign w:val="center"/>
          </w:tcPr>
          <w:p>
            <w:pPr>
              <w:pStyle w:val="TableContents"/>
              <w:bidi w:val="0"/>
              <w:spacing w:before="0" w:after="0"/>
              <w:ind w:left="0" w:right="0" w:hanging="144"/>
              <w:jc w:val="left"/>
              <w:rPr/>
            </w:pPr>
            <w:r>
              <w:rPr/>
              <w:t xml:space="preserve">Revenue: </w:t>
            </w:r>
          </w:p>
        </w:tc>
        <w:tc>
          <w:tcPr>
            <w:tcW w:w="9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Insurance premiums, net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05"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178,731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16"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(351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178,380</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Total revenue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188,227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(351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187,876</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Loss before income taxes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(5,264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(351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(5,615</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Income tax benefit </w:t>
            </w:r>
          </w:p>
        </w:tc>
        <w:tc>
          <w:tcPr>
            <w:tcW w:w="90"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(996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6"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(1,070</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Net loss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(4,268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(277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(4,545</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Net loss applicable to common shareholders </w:t>
            </w:r>
          </w:p>
        </w:tc>
        <w:tc>
          <w:tcPr>
            <w:tcW w:w="90"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(4,667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6"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(4,944</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Earnings (loss) per common share (basic)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w:t>
            </w:r>
          </w:p>
        </w:tc>
        <w:tc>
          <w:tcPr>
            <w:tcW w:w="1983" w:type="dxa"/>
            <w:tcBorders/>
            <w:vAlign w:val="center"/>
          </w:tcPr>
          <w:p>
            <w:pPr>
              <w:pStyle w:val="TableContents"/>
              <w:bidi w:val="0"/>
              <w:spacing w:before="0" w:after="283"/>
              <w:jc w:val="right"/>
              <w:rPr/>
            </w:pPr>
            <w:r>
              <w:rPr/>
              <w:t>(0.23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(0.02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283"/>
              <w:jc w:val="right"/>
              <w:rPr/>
            </w:pPr>
            <w:r>
              <w:rPr/>
              <w:t>(0.25</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Earnings (loss) per common share (diluted) </w:t>
            </w:r>
          </w:p>
        </w:tc>
        <w:tc>
          <w:tcPr>
            <w:tcW w:w="90"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(0.23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6"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(0.02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(0.25</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Statement of Comprehensive Income for the year ended December 31, 2024.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511"/>
        <w:gridCol w:w="93"/>
        <w:gridCol w:w="427"/>
        <w:gridCol w:w="1673"/>
        <w:gridCol w:w="192"/>
        <w:gridCol w:w="93"/>
        <w:gridCol w:w="405"/>
        <w:gridCol w:w="1164"/>
        <w:gridCol w:w="192"/>
        <w:gridCol w:w="93"/>
        <w:gridCol w:w="228"/>
        <w:gridCol w:w="888"/>
        <w:gridCol w:w="246"/>
      </w:tblGrid>
      <w:tr>
        <w:trPr/>
        <w:tc>
          <w:tcPr>
            <w:tcW w:w="451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283"/>
              <w:jc w:val="both"/>
              <w:rPr/>
            </w:pPr>
            <w:r>
              <w:rPr/>
              <w:t> </w:t>
            </w:r>
          </w:p>
        </w:tc>
        <w:tc>
          <w:tcPr>
            <w:tcW w:w="5694"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4511"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center"/>
              <w:rPr/>
            </w:pPr>
            <w:r>
              <w:rPr/>
              <w:t> </w:t>
            </w:r>
          </w:p>
        </w:tc>
        <w:tc>
          <w:tcPr>
            <w:tcW w:w="2100"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92"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569"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92"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46" w:type="dxa"/>
            <w:tcBorders/>
            <w:vAlign w:val="center"/>
          </w:tcPr>
          <w:p>
            <w:pPr>
              <w:pStyle w:val="TableContents"/>
              <w:bidi w:val="0"/>
              <w:spacing w:before="0" w:after="283"/>
              <w:jc w:val="center"/>
              <w:rPr/>
            </w:pPr>
            <w:r>
              <w:rPr/>
              <w:t> </w:t>
            </w:r>
          </w:p>
        </w:tc>
      </w:tr>
      <w:tr>
        <w:trPr/>
        <w:tc>
          <w:tcPr>
            <w:tcW w:w="4511" w:type="dxa"/>
            <w:tcBorders/>
            <w:vAlign w:val="center"/>
          </w:tcPr>
          <w:p>
            <w:pPr>
              <w:pStyle w:val="TableContents"/>
              <w:bidi w:val="0"/>
              <w:spacing w:before="0" w:after="283"/>
              <w:jc w:val="both"/>
              <w:rPr/>
            </w:pPr>
            <w:r>
              <w:rPr/>
              <w:t> </w:t>
            </w:r>
          </w:p>
        </w:tc>
        <w:tc>
          <w:tcPr>
            <w:tcW w:w="5694" w:type="dxa"/>
            <w:gridSpan w:val="12"/>
            <w:tcBorders/>
            <w:vAlign w:val="center"/>
          </w:tcPr>
          <w:p>
            <w:pPr>
              <w:pStyle w:val="TableContents"/>
              <w:bidi w:val="0"/>
              <w:spacing w:before="0" w:after="283"/>
              <w:jc w:val="center"/>
              <w:rPr/>
            </w:pPr>
            <w:r>
              <w:rPr/>
              <w:t xml:space="preserve">(In thousands) </w:t>
            </w:r>
          </w:p>
        </w:tc>
      </w:tr>
      <w:tr>
        <w:trPr/>
        <w:tc>
          <w:tcPr>
            <w:tcW w:w="4511" w:type="dxa"/>
            <w:tcBorders/>
            <w:shd w:fill="CCEEFF" w:val="clear"/>
            <w:vAlign w:val="center"/>
          </w:tcPr>
          <w:p>
            <w:pPr>
              <w:pStyle w:val="TableContents"/>
              <w:bidi w:val="0"/>
              <w:spacing w:before="0" w:after="0"/>
              <w:ind w:left="0" w:right="0" w:hanging="144"/>
              <w:jc w:val="left"/>
              <w:rPr/>
            </w:pPr>
            <w:r>
              <w:rPr/>
              <w:t xml:space="preserve">Net loss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w:t>
            </w:r>
          </w:p>
        </w:tc>
        <w:tc>
          <w:tcPr>
            <w:tcW w:w="1673" w:type="dxa"/>
            <w:tcBorders/>
            <w:shd w:fill="CCEEFF" w:val="clear"/>
            <w:vAlign w:val="center"/>
          </w:tcPr>
          <w:p>
            <w:pPr>
              <w:pStyle w:val="TableContents"/>
              <w:bidi w:val="0"/>
              <w:spacing w:before="0" w:after="283"/>
              <w:jc w:val="right"/>
              <w:rPr/>
            </w:pPr>
            <w:r>
              <w:rPr/>
              <w:t>(4,268</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(277</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(4,545</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Other comprehensive gain (loss): </w:t>
            </w:r>
          </w:p>
        </w:tc>
        <w:tc>
          <w:tcPr>
            <w:tcW w:w="93"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0"/>
              <w:ind w:left="0" w:right="0" w:hanging="144"/>
              <w:jc w:val="left"/>
              <w:rPr/>
            </w:pPr>
            <w:r>
              <w:rPr/>
              <w:t xml:space="preserve">Future policy benefit discount rate remeasurement gain (loss)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Subtotal </w:t>
            </w:r>
          </w:p>
        </w:tc>
        <w:tc>
          <w:tcPr>
            <w:tcW w:w="93" w:type="dxa"/>
            <w:tcBorders/>
            <w:vAlign w:val="center"/>
          </w:tcPr>
          <w:p>
            <w:pPr>
              <w:pStyle w:val="TableContents"/>
              <w:bidi w:val="0"/>
              <w:spacing w:before="0" w:after="283"/>
              <w:jc w:val="righ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(3,280</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right"/>
              <w:rPr/>
            </w:pPr>
            <w:r>
              <w:rPr/>
              <w:t> </w:t>
            </w:r>
          </w:p>
        </w:tc>
        <w:tc>
          <w:tcPr>
            <w:tcW w:w="1164"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(3,280</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Related income tax effect </w:t>
            </w:r>
          </w:p>
        </w:tc>
        <w:tc>
          <w:tcPr>
            <w:tcW w:w="93" w:type="dxa"/>
            <w:tcBorders/>
            <w:vAlign w:val="center"/>
          </w:tcPr>
          <w:p>
            <w:pPr>
              <w:pStyle w:val="TableContents"/>
              <w:bidi w:val="0"/>
              <w:spacing w:before="0" w:after="283"/>
              <w:jc w:val="righ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689</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right"/>
              <w:rPr/>
            </w:pPr>
            <w:r>
              <w:rPr/>
              <w:t> </w:t>
            </w:r>
          </w:p>
        </w:tc>
        <w:tc>
          <w:tcPr>
            <w:tcW w:w="1164"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689</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0"/>
              <w:ind w:left="0" w:right="0" w:hanging="144"/>
              <w:jc w:val="left"/>
              <w:rPr/>
            </w:pPr>
            <w:r>
              <w:rPr/>
              <w:t xml:space="preserve">Subtotal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689</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right"/>
              <w:rPr/>
            </w:pPr>
            <w:r>
              <w:rPr/>
              <w:t> </w:t>
            </w:r>
          </w:p>
        </w:tc>
        <w:tc>
          <w:tcPr>
            <w:tcW w:w="1164"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689</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0"/>
              <w:ind w:left="0" w:right="0" w:hanging="144"/>
              <w:jc w:val="left"/>
              <w:rPr/>
            </w:pPr>
            <w:r>
              <w:rPr/>
              <w:t xml:space="preserve">Total other comprehensive income, net of tax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(2,591</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(2,591</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Total comprehensive income </w:t>
            </w:r>
          </w:p>
        </w:tc>
        <w:tc>
          <w:tcPr>
            <w:tcW w:w="93" w:type="dxa"/>
            <w:tcBorders/>
            <w:vAlign w:val="center"/>
          </w:tcPr>
          <w:p>
            <w:pPr>
              <w:pStyle w:val="TableContents"/>
              <w:bidi w:val="0"/>
              <w:spacing w:before="0" w:after="283"/>
              <w:jc w:val="right"/>
              <w:rPr/>
            </w:pPr>
            <w:r>
              <w:rPr/>
              <w:t> </w:t>
            </w:r>
          </w:p>
        </w:tc>
        <w:tc>
          <w:tcPr>
            <w:tcW w:w="427" w:type="dxa"/>
            <w:tcBorders/>
            <w:vAlign w:val="center"/>
          </w:tcPr>
          <w:p>
            <w:pPr>
              <w:pStyle w:val="TableContents"/>
              <w:bidi w:val="0"/>
              <w:spacing w:before="0" w:after="283"/>
              <w:jc w:val="left"/>
              <w:rPr/>
            </w:pPr>
            <w:r>
              <w:rPr/>
              <w:t>$</w:t>
            </w:r>
          </w:p>
        </w:tc>
        <w:tc>
          <w:tcPr>
            <w:tcW w:w="1673" w:type="dxa"/>
            <w:tcBorders/>
            <w:vAlign w:val="center"/>
          </w:tcPr>
          <w:p>
            <w:pPr>
              <w:pStyle w:val="TableContents"/>
              <w:bidi w:val="0"/>
              <w:spacing w:before="0" w:after="283"/>
              <w:jc w:val="right"/>
              <w:rPr/>
            </w:pPr>
            <w:r>
              <w:rPr/>
              <w:t>(6,859</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4" w:type="dxa"/>
            <w:tcBorders/>
            <w:vAlign w:val="center"/>
          </w:tcPr>
          <w:p>
            <w:pPr>
              <w:pStyle w:val="TableContents"/>
              <w:bidi w:val="0"/>
              <w:spacing w:before="0" w:after="283"/>
              <w:jc w:val="right"/>
              <w:rPr/>
            </w:pPr>
            <w:r>
              <w:rPr/>
              <w:t>(277</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(7,136</w:t>
            </w:r>
          </w:p>
        </w:tc>
        <w:tc>
          <w:tcPr>
            <w:tcW w:w="246" w:type="dxa"/>
            <w:tcBorders/>
            <w:vAlign w:val="center"/>
          </w:tcPr>
          <w:p>
            <w:pPr>
              <w:pStyle w:val="TableContents"/>
              <w:bidi w:val="0"/>
              <w:spacing w:before="0" w:after="283"/>
              <w:jc w:val="left"/>
              <w:rPr/>
            </w:pPr>
            <w:r>
              <w:rPr/>
              <w:t>) </w:t>
            </w:r>
          </w:p>
        </w:tc>
      </w:tr>
    </w:tbl>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Statement of Stockholders' Equity at December 31, 2024. </w:t>
      </w:r>
    </w:p>
    <w:p>
      <w:pPr>
        <w:pStyle w:val="TextBody"/>
        <w:bidi w:val="0"/>
        <w:spacing w:before="0" w:after="0"/>
        <w:jc w:val="both"/>
        <w:rPr/>
      </w:pPr>
      <w:r>
        <w:rPr/>
        <w:t xml:space="preserve">  </w:t>
      </w:r>
    </w:p>
    <w:tbl>
      <w:tblPr>
        <w:tblW w:w="9152" w:type="dxa"/>
        <w:jc w:val="left"/>
        <w:tblInd w:w="0" w:type="dxa"/>
        <w:tblLayout w:type="fixed"/>
        <w:tblCellMar>
          <w:top w:w="0" w:type="dxa"/>
          <w:left w:w="0" w:type="dxa"/>
          <w:bottom w:w="0" w:type="dxa"/>
          <w:right w:w="0" w:type="dxa"/>
        </w:tblCellMar>
      </w:tblPr>
      <w:tblGrid>
        <w:gridCol w:w="2675"/>
        <w:gridCol w:w="90"/>
        <w:gridCol w:w="486"/>
        <w:gridCol w:w="2038"/>
        <w:gridCol w:w="185"/>
        <w:gridCol w:w="90"/>
        <w:gridCol w:w="376"/>
        <w:gridCol w:w="1473"/>
        <w:gridCol w:w="185"/>
        <w:gridCol w:w="90"/>
        <w:gridCol w:w="238"/>
        <w:gridCol w:w="996"/>
        <w:gridCol w:w="230"/>
      </w:tblGrid>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both"/>
              <w:rPr/>
            </w:pPr>
            <w:r>
              <w:rPr/>
              <w:t> </w:t>
            </w:r>
          </w:p>
        </w:tc>
        <w:tc>
          <w:tcPr>
            <w:tcW w:w="6477"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26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524"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49"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30"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0"/>
              <w:ind w:left="0" w:right="0" w:hanging="144"/>
              <w:jc w:val="left"/>
              <w:rPr/>
            </w:pPr>
            <w:r>
              <w:rPr/>
              <w:t xml:space="preserve">(In thousands)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ind w:left="0" w:right="0" w:hanging="144"/>
              <w:jc w:val="left"/>
              <w:rPr/>
            </w:pPr>
            <w:r>
              <w:rPr/>
              <w:t xml:space="preserve">Retained earnings: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144"/>
              <w:jc w:val="left"/>
              <w:rPr/>
            </w:pPr>
            <w:r>
              <w:rPr/>
              <w:t xml:space="preserve">Balance, beginning of year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86" w:type="dxa"/>
            <w:tcBorders/>
            <w:shd w:fill="CCEEFF" w:val="clear"/>
            <w:vAlign w:val="center"/>
          </w:tcPr>
          <w:p>
            <w:pPr>
              <w:pStyle w:val="TableContents"/>
              <w:bidi w:val="0"/>
              <w:spacing w:before="0" w:after="283"/>
              <w:jc w:val="left"/>
              <w:rPr/>
            </w:pPr>
            <w:r>
              <w:rPr/>
              <w:t>$</w:t>
            </w:r>
          </w:p>
        </w:tc>
        <w:tc>
          <w:tcPr>
            <w:tcW w:w="2038" w:type="dxa"/>
            <w:tcBorders/>
            <w:shd w:fill="CCEEFF" w:val="clear"/>
            <w:vAlign w:val="center"/>
          </w:tcPr>
          <w:p>
            <w:pPr>
              <w:pStyle w:val="TableContents"/>
              <w:bidi w:val="0"/>
              <w:spacing w:before="0" w:after="283"/>
              <w:jc w:val="right"/>
              <w:rPr/>
            </w:pPr>
            <w:r>
              <w:rPr/>
              <w:t>50,929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376"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(1,208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49,721</w:t>
            </w:r>
          </w:p>
        </w:tc>
        <w:tc>
          <w:tcPr>
            <w:tcW w:w="23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ind w:left="0" w:right="0" w:hanging="144"/>
              <w:jc w:val="left"/>
              <w:rPr/>
            </w:pPr>
            <w:r>
              <w:rPr/>
              <w:t xml:space="preserve">Net loss </w:t>
            </w:r>
          </w:p>
        </w:tc>
        <w:tc>
          <w:tcPr>
            <w:tcW w:w="90" w:type="dxa"/>
            <w:tcBorders/>
            <w:vAlign w:val="center"/>
          </w:tcPr>
          <w:p>
            <w:pPr>
              <w:pStyle w:val="TableContents"/>
              <w:bidi w:val="0"/>
              <w:spacing w:before="0" w:after="283"/>
              <w:jc w:val="righ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right"/>
              <w:rPr/>
            </w:pPr>
            <w:r>
              <w:rPr/>
              <w:t>(4,268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(277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(4,545</w:t>
            </w:r>
          </w:p>
        </w:tc>
        <w:tc>
          <w:tcPr>
            <w:tcW w:w="23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144"/>
              <w:jc w:val="left"/>
              <w:rPr/>
            </w:pPr>
            <w:r>
              <w:rPr/>
              <w:t xml:space="preserve">Balance, end of year </w:t>
            </w:r>
          </w:p>
        </w:tc>
        <w:tc>
          <w:tcPr>
            <w:tcW w:w="90" w:type="dxa"/>
            <w:tcBorders/>
            <w:shd w:fill="CCEEFF" w:val="clear"/>
            <w:vAlign w:val="center"/>
          </w:tcPr>
          <w:p>
            <w:pPr>
              <w:pStyle w:val="TableContents"/>
              <w:bidi w:val="0"/>
              <w:spacing w:before="0" w:after="283"/>
              <w:jc w:val="right"/>
              <w:rPr/>
            </w:pPr>
            <w:r>
              <w:rPr/>
              <w:t> </w:t>
            </w:r>
          </w:p>
        </w:tc>
        <w:tc>
          <w:tcPr>
            <w:tcW w:w="486" w:type="dxa"/>
            <w:tcBorders/>
            <w:shd w:fill="CCEEFF" w:val="clear"/>
            <w:vAlign w:val="center"/>
          </w:tcPr>
          <w:p>
            <w:pPr>
              <w:pStyle w:val="TableContents"/>
              <w:bidi w:val="0"/>
              <w:spacing w:before="0" w:after="283"/>
              <w:jc w:val="left"/>
              <w:rPr/>
            </w:pPr>
            <w:r>
              <w:rPr/>
              <w:t> </w:t>
            </w:r>
          </w:p>
        </w:tc>
        <w:tc>
          <w:tcPr>
            <w:tcW w:w="2038" w:type="dxa"/>
            <w:tcBorders/>
            <w:shd w:fill="CCEEFF" w:val="clear"/>
            <w:vAlign w:val="center"/>
          </w:tcPr>
          <w:p>
            <w:pPr>
              <w:pStyle w:val="TableContents"/>
              <w:bidi w:val="0"/>
              <w:spacing w:before="0" w:after="283"/>
              <w:jc w:val="right"/>
              <w:rPr/>
            </w:pPr>
            <w:r>
              <w:rPr/>
              <w:t>45,854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7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(1,485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44,369</w:t>
            </w:r>
          </w:p>
        </w:tc>
        <w:tc>
          <w:tcPr>
            <w:tcW w:w="23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144"/>
              <w:jc w:val="left"/>
              <w:rPr/>
            </w:pPr>
            <w:r>
              <w:rPr/>
              <w:t xml:space="preserve">Total shareholders’ equity </w:t>
            </w:r>
          </w:p>
        </w:tc>
        <w:tc>
          <w:tcPr>
            <w:tcW w:w="90" w:type="dxa"/>
            <w:tcBorders/>
            <w:shd w:fill="CCEEFF" w:val="clear"/>
            <w:vAlign w:val="center"/>
          </w:tcPr>
          <w:p>
            <w:pPr>
              <w:pStyle w:val="TableContents"/>
              <w:bidi w:val="0"/>
              <w:spacing w:before="0" w:after="283"/>
              <w:jc w:val="right"/>
              <w:rPr/>
            </w:pPr>
            <w:r>
              <w:rPr/>
              <w:t> </w:t>
            </w:r>
          </w:p>
        </w:tc>
        <w:tc>
          <w:tcPr>
            <w:tcW w:w="486" w:type="dxa"/>
            <w:tcBorders/>
            <w:shd w:fill="CCEEFF" w:val="clear"/>
            <w:vAlign w:val="center"/>
          </w:tcPr>
          <w:p>
            <w:pPr>
              <w:pStyle w:val="TableContents"/>
              <w:bidi w:val="0"/>
              <w:spacing w:before="0" w:after="283"/>
              <w:jc w:val="left"/>
              <w:rPr/>
            </w:pPr>
            <w:r>
              <w:rPr/>
              <w:t>$</w:t>
            </w:r>
          </w:p>
        </w:tc>
        <w:tc>
          <w:tcPr>
            <w:tcW w:w="2038" w:type="dxa"/>
            <w:tcBorders/>
            <w:shd w:fill="CCEEFF" w:val="clear"/>
            <w:vAlign w:val="center"/>
          </w:tcPr>
          <w:p>
            <w:pPr>
              <w:pStyle w:val="TableContents"/>
              <w:bidi w:val="0"/>
              <w:spacing w:before="0" w:after="283"/>
              <w:jc w:val="right"/>
              <w:rPr/>
            </w:pPr>
            <w:r>
              <w:rPr/>
              <w:t>99,613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76"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(1,485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98,128</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Statement of Cash Flows for the year ended December 31, 2024.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891"/>
        <w:gridCol w:w="90"/>
        <w:gridCol w:w="391"/>
        <w:gridCol w:w="1530"/>
        <w:gridCol w:w="185"/>
        <w:gridCol w:w="90"/>
        <w:gridCol w:w="295"/>
        <w:gridCol w:w="1156"/>
        <w:gridCol w:w="185"/>
        <w:gridCol w:w="90"/>
        <w:gridCol w:w="217"/>
        <w:gridCol w:w="850"/>
        <w:gridCol w:w="235"/>
      </w:tblGrid>
      <w:tr>
        <w:trPr/>
        <w:tc>
          <w:tcPr>
            <w:tcW w:w="48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283"/>
              <w:jc w:val="both"/>
              <w:rPr/>
            </w:pPr>
            <w:r>
              <w:rPr/>
              <w:t> </w:t>
            </w:r>
          </w:p>
        </w:tc>
        <w:tc>
          <w:tcPr>
            <w:tcW w:w="5314"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489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1921"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51"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67"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35" w:type="dxa"/>
            <w:tcBorders/>
            <w:vAlign w:val="center"/>
          </w:tcPr>
          <w:p>
            <w:pPr>
              <w:pStyle w:val="TableContents"/>
              <w:bidi w:val="0"/>
              <w:spacing w:before="0" w:after="283"/>
              <w:jc w:val="center"/>
              <w:rPr/>
            </w:pPr>
            <w:r>
              <w:rPr/>
              <w:t> </w:t>
            </w:r>
          </w:p>
        </w:tc>
      </w:tr>
      <w:tr>
        <w:trPr/>
        <w:tc>
          <w:tcPr>
            <w:tcW w:w="4891" w:type="dxa"/>
            <w:tcBorders/>
            <w:vAlign w:val="center"/>
          </w:tcPr>
          <w:p>
            <w:pPr>
              <w:pStyle w:val="TableContents"/>
              <w:bidi w:val="0"/>
              <w:spacing w:before="0" w:after="283"/>
              <w:jc w:val="both"/>
              <w:rPr/>
            </w:pPr>
            <w:r>
              <w:rPr/>
              <w:t> </w:t>
            </w:r>
          </w:p>
        </w:tc>
        <w:tc>
          <w:tcPr>
            <w:tcW w:w="5314" w:type="dxa"/>
            <w:gridSpan w:val="12"/>
            <w:tcBorders/>
            <w:vAlign w:val="center"/>
          </w:tcPr>
          <w:p>
            <w:pPr>
              <w:pStyle w:val="TableContents"/>
              <w:bidi w:val="0"/>
              <w:spacing w:before="0" w:after="283"/>
              <w:jc w:val="center"/>
              <w:rPr/>
            </w:pPr>
            <w:r>
              <w:rPr/>
              <w:t xml:space="preserve">(In thousands) </w:t>
            </w:r>
          </w:p>
        </w:tc>
      </w:tr>
      <w:tr>
        <w:trPr/>
        <w:tc>
          <w:tcPr>
            <w:tcW w:w="4891" w:type="dxa"/>
            <w:tcBorders/>
            <w:vAlign w:val="center"/>
          </w:tcPr>
          <w:p>
            <w:pPr>
              <w:pStyle w:val="TableContents"/>
              <w:bidi w:val="0"/>
              <w:spacing w:before="0" w:after="0"/>
              <w:ind w:left="0" w:right="0" w:hanging="144"/>
              <w:jc w:val="left"/>
              <w:rPr/>
            </w:pPr>
            <w:r>
              <w:rPr/>
              <w:t xml:space="preserve">Cash flows from operating activities: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891" w:type="dxa"/>
            <w:tcBorders/>
            <w:shd w:fill="CCEEFF" w:val="clear"/>
            <w:vAlign w:val="center"/>
          </w:tcPr>
          <w:p>
            <w:pPr>
              <w:pStyle w:val="TableContents"/>
              <w:bidi w:val="0"/>
              <w:spacing w:before="0" w:after="0"/>
              <w:ind w:left="0" w:right="0" w:hanging="144"/>
              <w:jc w:val="left"/>
              <w:rPr/>
            </w:pPr>
            <w:r>
              <w:rPr/>
              <w:t xml:space="preserve">Net loss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391" w:type="dxa"/>
            <w:tcBorders/>
            <w:shd w:fill="CCEEFF" w:val="clear"/>
            <w:vAlign w:val="center"/>
          </w:tcPr>
          <w:p>
            <w:pPr>
              <w:pStyle w:val="TableContents"/>
              <w:bidi w:val="0"/>
              <w:spacing w:before="0" w:after="283"/>
              <w:jc w:val="left"/>
              <w:rPr/>
            </w:pPr>
            <w:r>
              <w:rPr/>
              <w:t>$</w:t>
            </w:r>
          </w:p>
        </w:tc>
        <w:tc>
          <w:tcPr>
            <w:tcW w:w="1530" w:type="dxa"/>
            <w:tcBorders/>
            <w:shd w:fill="CCEEFF" w:val="clear"/>
            <w:vAlign w:val="center"/>
          </w:tcPr>
          <w:p>
            <w:pPr>
              <w:pStyle w:val="TableContents"/>
              <w:bidi w:val="0"/>
              <w:spacing w:before="0" w:after="283"/>
              <w:jc w:val="right"/>
              <w:rPr/>
            </w:pPr>
            <w:r>
              <w:rPr/>
              <w:t>(4,268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(277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(4,545</w:t>
            </w:r>
          </w:p>
        </w:tc>
        <w:tc>
          <w:tcPr>
            <w:tcW w:w="235" w:type="dxa"/>
            <w:tcBorders/>
            <w:shd w:fill="CCEEFF" w:val="clear"/>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0"/>
              <w:ind w:left="0" w:right="0" w:hanging="144"/>
              <w:jc w:val="left"/>
              <w:rPr/>
            </w:pPr>
            <w:r>
              <w:rPr/>
              <w:t xml:space="preserve">Adjustments to reconcile net income to net cash provided by operating activities: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891" w:type="dxa"/>
            <w:tcBorders/>
            <w:shd w:fill="CCEEFF" w:val="clear"/>
            <w:vAlign w:val="center"/>
          </w:tcPr>
          <w:p>
            <w:pPr>
              <w:pStyle w:val="TableContents"/>
              <w:bidi w:val="0"/>
              <w:spacing w:before="0" w:after="0"/>
              <w:ind w:left="0" w:right="0" w:hanging="144"/>
              <w:jc w:val="left"/>
              <w:rPr/>
            </w:pPr>
            <w:r>
              <w:rPr/>
              <w:t xml:space="preserve">Deferred income tax benefit </w:t>
            </w:r>
          </w:p>
        </w:tc>
        <w:tc>
          <w:tcPr>
            <w:tcW w:w="90" w:type="dxa"/>
            <w:tcBorders/>
            <w:shd w:fill="CCEEFF" w:val="clear"/>
            <w:vAlign w:val="center"/>
          </w:tcPr>
          <w:p>
            <w:pPr>
              <w:pStyle w:val="TableContents"/>
              <w:bidi w:val="0"/>
              <w:spacing w:before="0" w:after="283"/>
              <w:jc w:val="right"/>
              <w:rPr/>
            </w:pPr>
            <w:r>
              <w:rPr/>
              <w:t> </w:t>
            </w:r>
          </w:p>
        </w:tc>
        <w:tc>
          <w:tcPr>
            <w:tcW w:w="391"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(1,747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(2,380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(4,127</w:t>
            </w:r>
          </w:p>
        </w:tc>
        <w:tc>
          <w:tcPr>
            <w:tcW w:w="235" w:type="dxa"/>
            <w:tcBorders/>
            <w:shd w:fill="CCEEFF" w:val="clear"/>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0"/>
              <w:ind w:left="0" w:right="0" w:hanging="144"/>
              <w:jc w:val="left"/>
              <w:rPr/>
            </w:pPr>
            <w:r>
              <w:rPr/>
              <w:t xml:space="preserve">Increase in receivables, net </w:t>
            </w:r>
          </w:p>
        </w:tc>
        <w:tc>
          <w:tcPr>
            <w:tcW w:w="90" w:type="dxa"/>
            <w:tcBorders/>
            <w:vAlign w:val="center"/>
          </w:tcPr>
          <w:p>
            <w:pPr>
              <w:pStyle w:val="TableContents"/>
              <w:bidi w:val="0"/>
              <w:spacing w:before="0" w:after="283"/>
              <w:jc w:val="righ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(5,581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5,580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w:t>
            </w:r>
          </w:p>
        </w:tc>
        <w:tc>
          <w:tcPr>
            <w:tcW w:w="235" w:type="dxa"/>
            <w:tcBorders/>
            <w:vAlign w:val="center"/>
          </w:tcPr>
          <w:p>
            <w:pPr>
              <w:pStyle w:val="TableContents"/>
              <w:bidi w:val="0"/>
              <w:spacing w:before="0" w:after="283"/>
              <w:jc w:val="left"/>
              <w:rPr/>
            </w:pPr>
            <w:r>
              <w:rPr/>
              <w:t>) </w:t>
            </w:r>
          </w:p>
        </w:tc>
      </w:tr>
      <w:tr>
        <w:trPr/>
        <w:tc>
          <w:tcPr>
            <w:tcW w:w="4891" w:type="dxa"/>
            <w:tcBorders/>
            <w:shd w:fill="CCEEFF" w:val="clear"/>
            <w:vAlign w:val="center"/>
          </w:tcPr>
          <w:p>
            <w:pPr>
              <w:pStyle w:val="TableContents"/>
              <w:bidi w:val="0"/>
              <w:spacing w:before="0" w:after="0"/>
              <w:ind w:left="0" w:right="0" w:hanging="144"/>
              <w:jc w:val="left"/>
              <w:rPr/>
            </w:pPr>
            <w:r>
              <w:rPr/>
              <w:t xml:space="preserve">(Decrease) increase in accounts payable and accrued expenses </w:t>
            </w:r>
          </w:p>
        </w:tc>
        <w:tc>
          <w:tcPr>
            <w:tcW w:w="90" w:type="dxa"/>
            <w:tcBorders/>
            <w:shd w:fill="CCEEFF" w:val="clear"/>
            <w:vAlign w:val="center"/>
          </w:tcPr>
          <w:p>
            <w:pPr>
              <w:pStyle w:val="TableContents"/>
              <w:bidi w:val="0"/>
              <w:spacing w:before="0" w:after="283"/>
              <w:jc w:val="right"/>
              <w:rPr/>
            </w:pPr>
            <w:r>
              <w:rPr/>
              <w:t> </w:t>
            </w:r>
          </w:p>
        </w:tc>
        <w:tc>
          <w:tcPr>
            <w:tcW w:w="391"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6,137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(2,922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3,215</w:t>
            </w:r>
          </w:p>
        </w:tc>
        <w:tc>
          <w:tcPr>
            <w:tcW w:w="235" w:type="dxa"/>
            <w:tcBorders/>
            <w:shd w:fill="CCEEFF" w:val="clear"/>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0"/>
              <w:ind w:left="0" w:right="0" w:hanging="144"/>
              <w:jc w:val="left"/>
              <w:rPr/>
            </w:pPr>
            <w:r>
              <w:rPr/>
              <w:t xml:space="preserve">Net cash provided by operating activities </w:t>
            </w:r>
          </w:p>
        </w:tc>
        <w:tc>
          <w:tcPr>
            <w:tcW w:w="90" w:type="dxa"/>
            <w:tcBorders/>
            <w:vAlign w:val="center"/>
          </w:tcPr>
          <w:p>
            <w:pPr>
              <w:pStyle w:val="TableContents"/>
              <w:bidi w:val="0"/>
              <w:spacing w:before="0" w:after="283"/>
              <w:jc w:val="right"/>
              <w:rPr/>
            </w:pPr>
            <w:r>
              <w:rPr/>
              <w:t> </w:t>
            </w:r>
          </w:p>
        </w:tc>
        <w:tc>
          <w:tcPr>
            <w:tcW w:w="391" w:type="dxa"/>
            <w:tcBorders/>
            <w:vAlign w:val="center"/>
          </w:tcPr>
          <w:p>
            <w:pPr>
              <w:pStyle w:val="TableContents"/>
              <w:bidi w:val="0"/>
              <w:spacing w:before="0" w:after="283"/>
              <w:jc w:val="left"/>
              <w:rPr/>
            </w:pPr>
            <w:r>
              <w:rPr/>
              <w:t>$</w:t>
            </w:r>
          </w:p>
        </w:tc>
        <w:tc>
          <w:tcPr>
            <w:tcW w:w="1530" w:type="dxa"/>
            <w:tcBorders/>
            <w:vAlign w:val="center"/>
          </w:tcPr>
          <w:p>
            <w:pPr>
              <w:pStyle w:val="TableContents"/>
              <w:bidi w:val="0"/>
              <w:spacing w:before="0" w:after="283"/>
              <w:jc w:val="right"/>
              <w:rPr/>
            </w:pPr>
            <w:r>
              <w:rPr/>
              <w:t>4,800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5"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4,800</w:t>
            </w:r>
          </w:p>
        </w:tc>
        <w:tc>
          <w:tcPr>
            <w:tcW w:w="235"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Recently Issued Accounting Standards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Adoption of New Accounting Standards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pPr>
      <w:r>
        <w:rPr/>
        <w:t>  </w:t>
      </w:r>
      <w:r>
        <w:rPr>
          <w:rFonts w:ascii="Times New Roman" w:hAnsi="Times New Roman"/>
          <w:b/>
          <w:sz w:val="20"/>
        </w:rPr>
        <w:t>Income Taxes.</w:t>
      </w:r>
      <w:r>
        <w:rPr>
          <w:rFonts w:ascii="Times New Roman" w:hAnsi="Times New Roman"/>
          <w:sz w:val="20"/>
        </w:rPr>
        <w:t xml:space="preserve"> In December 2023, the FASB issued ASU No. 2023-09, Improvements to Income Tax Disclosures (Topic 740). The amendment requires that all entities disclose on an annual basis the following information about income taxes paid;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All entities also are required to disclose: income (or loss) from continuing operations before income tax expense (or benefit) disaggregated between domestic and foreign; and income tax expense (or benefit) from continuing operations disaggregated by federal (national), state, and foreign. The ASU, which also includes certain other amendments to improve the effectiveness of income tax disclosures, is effective for public business entities for annual periods beginning after December 15, 2024. The Company adopted ASU No. 2023-09 on December 31, 2025. Refer to Note 10 of Notes to Consolidated Financial Statements for details regarding the Company’s income tax disclosure.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Adoption of ASU 2018-12—Targeted Improvements to the Accounting for Long-Duration Contracts.</w:t>
      </w:r>
      <w:r>
        <w:rPr>
          <w:rFonts w:ascii="Times New Roman" w:hAnsi="Times New Roman"/>
          <w:sz w:val="20"/>
        </w:rPr>
        <w:t xml:space="preserve"> Effective January 1, 2025, the Company adopted ASU No. 2018-12. The Company applied LDTI using the modified retrospective transition method as of January 1, 2024 (the “Transition Date”) to its whole life, Medicare Supplement and certain guaranteed-renewable accident and health insurance products. Accordingly, amounts previously reported as of and for the year ended December 31, 2024, have been adjusted to conform to LDTI’s recognition, measurement, presentation and disclosure requirements. The effects of adoption as of the Transition Date are summarized below, and additional disaggregated information is presented in Notes 7, 8 and 9.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Under the modified retrospective transition method, the carrying amount of the LFPB reported under previous GAAP as of December 31, 2023 was used as the starting point for determining the LFPB for in-force long-duration contracts as of the Transition Date. The Company adjusted that carrying amount to remove provisions for adverse deviation from assumptions other than discount rates, apply current best-estimate assumptions for future experience, remeasure the LFPB using applicable locked-in discount rates and recognize additional reserves for cohorts for which the NPR exceeded 100%.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As part of its LDTI implementation, the Company reassessed product classifications for its Bankers Fidelity subsidiary for group accident and health products, which were reclassified from long</w:t>
        <w:noBreakHyphen/>
        <w:t>duration to short</w:t>
        <w:noBreakHyphen/>
        <w:t xml:space="preserve">duration. This reclassification is supported by the Company’s ability to unilaterally cancel coverage annually. As of the Transition Date, this reclassification reduced the LFPB by $1,300, DAC by $3,300 resulting in a $1,576 reduction to opening retained earnings.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carrying amount of DAC associated with contracts in force as of December 31, 2023 was used as the starting point for applying LDTI’s revised DAC amortization requirements, subject to the applicable product reclassifications.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Related reinsurance recoverables were remeasured using assumptions and methodologies consistent with those applied to the underlying reinsured contracts and adjusted for the terms of the applicable reinsurance agreements.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difference between the LFPB measured under LDTI using the applicable locked-in discount rate and the corresponding carrying amount reported under previous GAAP was recognized as an adjustment to retained earnings. The difference between the LFPB measured using the current discount rate as of the Transition Date and the LFPB measured using the applicable locked-in discount rate was recognized as an adjustment to AOCI. The resulting cumulative-effect adjustments were recorded as of the Transition Date, net of related income tax effects.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represents a summary of the Transition Date impacts associated with the implementation of LDTI to the consolidated balance sheet: </w:t>
      </w:r>
    </w:p>
    <w:p>
      <w:pPr>
        <w:pStyle w:val="TextBody"/>
        <w:bidi w:val="0"/>
        <w:spacing w:before="0" w:after="0"/>
        <w:jc w:val="left"/>
        <w:rPr/>
      </w:pPr>
      <w:r>
        <w:rPr/>
        <w:t xml:space="preserve">  </w:t>
      </w:r>
    </w:p>
    <w:tbl>
      <w:tblPr>
        <w:tblW w:w="12686" w:type="dxa"/>
        <w:jc w:val="left"/>
        <w:tblInd w:w="0" w:type="dxa"/>
        <w:tblLayout w:type="fixed"/>
        <w:tblCellMar>
          <w:top w:w="0" w:type="dxa"/>
          <w:left w:w="0" w:type="dxa"/>
          <w:bottom w:w="0" w:type="dxa"/>
          <w:right w:w="0" w:type="dxa"/>
        </w:tblCellMar>
      </w:tblPr>
      <w:tblGrid>
        <w:gridCol w:w="1496"/>
        <w:gridCol w:w="90"/>
        <w:gridCol w:w="270"/>
        <w:gridCol w:w="1130"/>
        <w:gridCol w:w="90"/>
        <w:gridCol w:w="90"/>
        <w:gridCol w:w="186"/>
        <w:gridCol w:w="779"/>
        <w:gridCol w:w="185"/>
        <w:gridCol w:w="90"/>
        <w:gridCol w:w="232"/>
        <w:gridCol w:w="973"/>
        <w:gridCol w:w="185"/>
        <w:gridCol w:w="90"/>
        <w:gridCol w:w="170"/>
        <w:gridCol w:w="710"/>
        <w:gridCol w:w="185"/>
        <w:gridCol w:w="90"/>
        <w:gridCol w:w="209"/>
        <w:gridCol w:w="876"/>
        <w:gridCol w:w="185"/>
        <w:gridCol w:w="90"/>
        <w:gridCol w:w="232"/>
        <w:gridCol w:w="808"/>
        <w:gridCol w:w="90"/>
        <w:gridCol w:w="90"/>
        <w:gridCol w:w="189"/>
        <w:gridCol w:w="791"/>
        <w:gridCol w:w="185"/>
        <w:gridCol w:w="90"/>
        <w:gridCol w:w="291"/>
        <w:gridCol w:w="1349"/>
        <w:gridCol w:w="170"/>
      </w:tblGrid>
      <w:tr>
        <w:trPr/>
        <w:tc>
          <w:tcPr>
            <w:tcW w:w="14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496" w:type="dxa"/>
            <w:tcBorders/>
            <w:vAlign w:val="center"/>
          </w:tcPr>
          <w:p>
            <w:pPr>
              <w:pStyle w:val="TableContents"/>
              <w:bidi w:val="0"/>
              <w:spacing w:before="0" w:after="283"/>
              <w:jc w:val="both"/>
              <w:rPr/>
            </w:pPr>
            <w:r>
              <w:rPr/>
              <w:t>(In thousands)</w:t>
            </w:r>
          </w:p>
        </w:tc>
        <w:tc>
          <w:tcPr>
            <w:tcW w:w="90" w:type="dxa"/>
            <w:tcBorders/>
            <w:vAlign w:val="center"/>
          </w:tcPr>
          <w:p>
            <w:pPr>
              <w:pStyle w:val="TableContents"/>
              <w:bidi w:val="0"/>
              <w:spacing w:before="0" w:after="283"/>
              <w:jc w:val="both"/>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pPr>
            <w:r>
              <w:rPr>
                <w:b/>
              </w:rPr>
              <w:t>Reinsurance</w:t>
              <w:br/>
              <w:t>Recoverables</w:t>
            </w:r>
            <w:r>
              <w:rPr/>
              <w:t xml:space="preserve">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pPr>
            <w:r>
              <w:rPr>
                <w:b/>
              </w:rPr>
              <w:t>Deferred</w:t>
              <w:br/>
              <w:t>Income</w:t>
              <w:br/>
              <w:t>Tax Asset</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Deferred </w:t>
              <w:br/>
              <w:t xml:space="preserve">Acquisition </w:t>
              <w:br/>
              <w:t>Costs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Future</w:t>
              <w:br/>
              <w:t>Policy</w:t>
              <w:br/>
              <w:t>Benefits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pPr>
            <w:r>
              <w:rPr>
                <w:b/>
              </w:rPr>
              <w:t>Unearned</w:t>
              <w:br/>
              <w:t>Premiums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Other </w:t>
              <w:br/>
              <w:t xml:space="preserve">Policy </w:t>
              <w:br/>
              <w:t>Liabilities</w:t>
            </w:r>
            <w:r>
              <w:rPr/>
              <w:t xml:space="preserve">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pPr>
            <w:r>
              <w:rPr>
                <w:b/>
              </w:rPr>
              <w:t>Retained</w:t>
              <w:br/>
              <w:t>Earnings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pPr>
            <w:r>
              <w:rPr>
                <w:b/>
              </w:rPr>
              <w:t>Accumulated</w:t>
              <w:br/>
              <w:t>Other</w:t>
              <w:br/>
              <w:t>Comprehensive</w:t>
              <w:br/>
              <w:t>Income (Loss)</w:t>
            </w:r>
            <w:r>
              <w:rPr/>
              <w:t xml:space="preserve"> </w:t>
            </w:r>
          </w:p>
        </w:tc>
        <w:tc>
          <w:tcPr>
            <w:tcW w:w="170" w:type="dxa"/>
            <w:tcBorders/>
            <w:vAlign w:val="center"/>
          </w:tcPr>
          <w:p>
            <w:pPr>
              <w:pStyle w:val="TableContents"/>
              <w:bidi w:val="0"/>
              <w:spacing w:before="0" w:after="283"/>
              <w:jc w:val="both"/>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Balance as of December 31, 2023 </w:t>
            </w:r>
            <w:r>
              <w:rPr>
                <w:sz w:val="18"/>
              </w:rPr>
              <w:t>(as revised)</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21,103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16,408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43,850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92,495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31,317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1,132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49,721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(16,121</w:t>
            </w:r>
          </w:p>
        </w:tc>
        <w:tc>
          <w:tcPr>
            <w:tcW w:w="170" w:type="dxa"/>
            <w:tcBorders/>
            <w:shd w:fill="CCEEFF" w:val="clear"/>
            <w:vAlign w:val="center"/>
          </w:tcPr>
          <w:p>
            <w:pPr>
              <w:pStyle w:val="TableContents"/>
              <w:bidi w:val="0"/>
              <w:spacing w:before="0" w:after="283"/>
              <w:jc w:val="left"/>
              <w:rPr/>
            </w:pPr>
            <w:r>
              <w:rPr/>
              <w:t>)</w:t>
            </w:r>
          </w:p>
        </w:tc>
      </w:tr>
      <w:tr>
        <w:trPr/>
        <w:tc>
          <w:tcPr>
            <w:tcW w:w="1496" w:type="dxa"/>
            <w:tcBorders/>
            <w:vAlign w:val="center"/>
          </w:tcPr>
          <w:p>
            <w:pPr>
              <w:pStyle w:val="TableContents"/>
              <w:bidi w:val="0"/>
              <w:spacing w:before="0" w:after="0"/>
              <w:ind w:left="0" w:right="0" w:hanging="144"/>
              <w:jc w:val="left"/>
              <w:rPr/>
            </w:pPr>
            <w:r>
              <w:rPr/>
              <w:t xml:space="preserve">Reclassification of annuities </w:t>
            </w:r>
          </w:p>
        </w:tc>
        <w:tc>
          <w:tcPr>
            <w:tcW w:w="90"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(4,799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4,799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xml:space="preserve">- </w:t>
            </w:r>
          </w:p>
        </w:tc>
        <w:tc>
          <w:tcPr>
            <w:tcW w:w="170" w:type="dxa"/>
            <w:tcBorders/>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 xml:space="preserve">Reclassification of certain group accident and health products </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419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(3,294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(1,576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w:t>
            </w:r>
          </w:p>
        </w:tc>
      </w:tr>
      <w:tr>
        <w:trPr/>
        <w:tc>
          <w:tcPr>
            <w:tcW w:w="1496" w:type="dxa"/>
            <w:tcBorders/>
            <w:vAlign w:val="center"/>
          </w:tcPr>
          <w:p>
            <w:pPr>
              <w:pStyle w:val="TableContents"/>
              <w:bidi w:val="0"/>
              <w:spacing w:before="0" w:after="0"/>
              <w:ind w:left="0" w:right="0" w:hanging="144"/>
              <w:jc w:val="left"/>
              <w:rPr/>
            </w:pPr>
            <w:r>
              <w:rPr/>
              <w:t xml:space="preserve">Reclassifications and adjustments for the cumulative effect of adoption on assets and liabilities </w:t>
            </w:r>
          </w:p>
        </w:tc>
        <w:tc>
          <w:tcPr>
            <w:tcW w:w="90"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4,075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(2,467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xml:space="preserve">- </w:t>
            </w:r>
          </w:p>
        </w:tc>
        <w:tc>
          <w:tcPr>
            <w:tcW w:w="170" w:type="dxa"/>
            <w:tcBorders/>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 xml:space="preserve">Impact from capping Transition Date net premium ratio </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650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3,093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(2,443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w:t>
            </w:r>
          </w:p>
        </w:tc>
      </w:tr>
      <w:tr>
        <w:trPr/>
        <w:tc>
          <w:tcPr>
            <w:tcW w:w="1496" w:type="dxa"/>
            <w:tcBorders/>
            <w:vAlign w:val="center"/>
          </w:tcPr>
          <w:p>
            <w:pPr>
              <w:pStyle w:val="TableContents"/>
              <w:bidi w:val="0"/>
              <w:spacing w:before="0" w:after="0"/>
              <w:ind w:left="0" w:right="0" w:hanging="144"/>
              <w:jc w:val="left"/>
              <w:rPr/>
            </w:pPr>
            <w:r>
              <w:rPr/>
              <w:t xml:space="preserve">Effect of remeasurement of future policy benefits to an upper-medium grade discount rate </w:t>
            </w:r>
          </w:p>
        </w:tc>
        <w:tc>
          <w:tcPr>
            <w:tcW w:w="90" w:type="dxa"/>
            <w:tcBorders/>
            <w:vAlign w:val="center"/>
          </w:tcPr>
          <w:p>
            <w:pPr>
              <w:pStyle w:val="TableContents"/>
              <w:bidi w:val="0"/>
              <w:spacing w:before="0" w:after="283"/>
              <w:jc w:val="right"/>
              <w:rPr/>
            </w:pPr>
            <w:r>
              <w:rPr/>
              <w:t>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1,233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tcMar>
              <w:bottom w:w="28" w:type="dxa"/>
            </w:tcMar>
            <w:vAlign w:val="center"/>
          </w:tcPr>
          <w:p>
            <w:pPr>
              <w:pStyle w:val="TableContents"/>
              <w:bidi w:val="0"/>
              <w:spacing w:before="0" w:after="283"/>
              <w:jc w:val="right"/>
              <w:rPr/>
            </w:pPr>
            <w:r>
              <w:rPr/>
              <w:t>(1,697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(6,846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tcMar>
              <w:bottom w:w="28" w:type="dxa"/>
            </w:tcMar>
            <w:vAlign w:val="center"/>
          </w:tcPr>
          <w:p>
            <w:pPr>
              <w:pStyle w:val="TableContents"/>
              <w:bidi w:val="0"/>
              <w:spacing w:before="0" w:after="283"/>
              <w:jc w:val="right"/>
              <w:rPr/>
            </w:pPr>
            <w:r>
              <w:rPr/>
              <w:t>6,382</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 xml:space="preserve">Adjusted balance as of January 1, 2024, gross of reinsurance </w:t>
            </w:r>
          </w:p>
        </w:tc>
        <w:tc>
          <w:tcPr>
            <w:tcW w:w="90" w:type="dxa"/>
            <w:tcBorders/>
            <w:shd w:fill="CCEEFF" w:val="clear"/>
            <w:vAlign w:val="center"/>
          </w:tcPr>
          <w:p>
            <w:pPr>
              <w:pStyle w:val="TableContents"/>
              <w:bidi w:val="0"/>
              <w:spacing w:before="0" w:after="283"/>
              <w:jc w:val="right"/>
              <w:rPr/>
            </w:pPr>
            <w:r>
              <w:rPr/>
              <w:t> </w:t>
            </w:r>
          </w:p>
        </w:tc>
        <w:tc>
          <w:tcPr>
            <w:tcW w:w="2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23,953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8" w:space="0" w:color="000000"/>
            </w:tcBorders>
            <w:shd w:fill="CCEEFF" w:val="clear"/>
            <w:tcMar>
              <w:bottom w:w="28" w:type="dxa"/>
            </w:tcMar>
            <w:vAlign w:val="center"/>
          </w:tcPr>
          <w:p>
            <w:pPr>
              <w:pStyle w:val="TableContents"/>
              <w:bidi w:val="0"/>
              <w:spacing w:before="0" w:after="283"/>
              <w:jc w:val="right"/>
              <w:rPr/>
            </w:pPr>
            <w:r>
              <w:rPr/>
              <w:t>15,788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73" w:type="dxa"/>
            <w:tcBorders>
              <w:bottom w:val="double" w:sz="8" w:space="0" w:color="000000"/>
            </w:tcBorders>
            <w:shd w:fill="CCEEFF" w:val="clear"/>
            <w:tcMar>
              <w:bottom w:w="28" w:type="dxa"/>
            </w:tcMar>
            <w:vAlign w:val="center"/>
          </w:tcPr>
          <w:p>
            <w:pPr>
              <w:pStyle w:val="TableContents"/>
              <w:bidi w:val="0"/>
              <w:spacing w:before="0" w:after="283"/>
              <w:jc w:val="right"/>
              <w:rPr/>
            </w:pPr>
            <w:r>
              <w:rPr/>
              <w:t>40,556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86,718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8" w:space="0" w:color="000000"/>
            </w:tcBorders>
            <w:shd w:fill="CCEEFF" w:val="clear"/>
            <w:tcMar>
              <w:bottom w:w="28" w:type="dxa"/>
            </w:tcMar>
            <w:vAlign w:val="center"/>
          </w:tcPr>
          <w:p>
            <w:pPr>
              <w:pStyle w:val="TableContents"/>
              <w:bidi w:val="0"/>
              <w:spacing w:before="0" w:after="283"/>
              <w:jc w:val="right"/>
              <w:rPr/>
            </w:pPr>
            <w:r>
              <w:rPr/>
              <w:t>28,850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08" w:type="dxa"/>
            <w:tcBorders>
              <w:bottom w:val="double" w:sz="8" w:space="0" w:color="000000"/>
            </w:tcBorders>
            <w:shd w:fill="CCEEFF" w:val="clear"/>
            <w:tcMar>
              <w:bottom w:w="28" w:type="dxa"/>
            </w:tcMar>
            <w:vAlign w:val="center"/>
          </w:tcPr>
          <w:p>
            <w:pPr>
              <w:pStyle w:val="TableContents"/>
              <w:bidi w:val="0"/>
              <w:spacing w:before="0" w:after="283"/>
              <w:jc w:val="right"/>
              <w:rPr/>
            </w:pPr>
            <w:r>
              <w:rPr/>
              <w:t>5,931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8" w:space="0" w:color="000000"/>
            </w:tcBorders>
            <w:shd w:fill="CCEEFF" w:val="clear"/>
            <w:tcMar>
              <w:bottom w:w="28" w:type="dxa"/>
            </w:tcMar>
            <w:vAlign w:val="center"/>
          </w:tcPr>
          <w:p>
            <w:pPr>
              <w:pStyle w:val="TableContents"/>
              <w:bidi w:val="0"/>
              <w:spacing w:before="0" w:after="283"/>
              <w:jc w:val="right"/>
              <w:rPr/>
            </w:pPr>
            <w:r>
              <w:rPr/>
              <w:t>45,699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49" w:type="dxa"/>
            <w:tcBorders>
              <w:bottom w:val="double" w:sz="8" w:space="0" w:color="000000"/>
            </w:tcBorders>
            <w:shd w:fill="CCEEFF" w:val="clear"/>
            <w:tcMar>
              <w:bottom w:w="28" w:type="dxa"/>
            </w:tcMar>
            <w:vAlign w:val="center"/>
          </w:tcPr>
          <w:p>
            <w:pPr>
              <w:pStyle w:val="TableContents"/>
              <w:bidi w:val="0"/>
              <w:spacing w:before="0" w:after="283"/>
              <w:jc w:val="right"/>
              <w:rPr/>
            </w:pPr>
            <w:r>
              <w:rPr/>
              <w:t>(9,739</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balance sheet: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355"/>
        <w:gridCol w:w="90"/>
        <w:gridCol w:w="170"/>
        <w:gridCol w:w="1114"/>
        <w:gridCol w:w="185"/>
        <w:gridCol w:w="90"/>
        <w:gridCol w:w="170"/>
        <w:gridCol w:w="2106"/>
        <w:gridCol w:w="185"/>
        <w:gridCol w:w="90"/>
        <w:gridCol w:w="170"/>
        <w:gridCol w:w="1249"/>
        <w:gridCol w:w="231"/>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5850" w:type="dxa"/>
            <w:gridSpan w:val="12"/>
            <w:tcBorders>
              <w:bottom w:val="single" w:sz="12" w:space="0" w:color="000000"/>
            </w:tcBorders>
            <w:tcMar>
              <w:bottom w:w="28" w:type="dxa"/>
            </w:tcMar>
            <w:vAlign w:val="center"/>
          </w:tcPr>
          <w:p>
            <w:pPr>
              <w:pStyle w:val="TableContents"/>
              <w:bidi w:val="0"/>
              <w:spacing w:before="0" w:after="283"/>
              <w:jc w:val="center"/>
              <w:rPr/>
            </w:pPr>
            <w:r>
              <w:rPr>
                <w:b/>
              </w:rPr>
              <w:t>December 31, 2024</w:t>
            </w:r>
            <w:r>
              <w:rPr/>
              <w:t xml:space="preserve">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bottom w:val="single" w:sz="12" w:space="0" w:color="000000"/>
            </w:tcBorders>
            <w:tcMar>
              <w:bottom w:w="28" w:type="dxa"/>
            </w:tcMar>
            <w:vAlign w:val="center"/>
          </w:tcPr>
          <w:p>
            <w:pPr>
              <w:pStyle w:val="TableContents"/>
              <w:bidi w:val="0"/>
              <w:spacing w:before="0" w:after="0"/>
              <w:jc w:val="center"/>
              <w:rPr/>
            </w:pPr>
            <w:r>
              <w:rPr>
                <w:b/>
              </w:rPr>
              <w:t>As Revised</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bottom w:val="single" w:sz="12" w:space="0" w:color="000000"/>
            </w:tcBorders>
            <w:tcMar>
              <w:bottom w:w="28" w:type="dxa"/>
            </w:tcMar>
            <w:vAlign w:val="center"/>
          </w:tcPr>
          <w:p>
            <w:pPr>
              <w:pStyle w:val="TableContents"/>
              <w:bidi w:val="0"/>
              <w:spacing w:before="0" w:after="0"/>
              <w:jc w:val="center"/>
              <w:rPr/>
            </w:pPr>
            <w:r>
              <w:rPr>
                <w:b/>
              </w:rPr>
              <w:t>LDTI Adoption Impacts</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0"/>
              <w:jc w:val="center"/>
              <w:rPr/>
            </w:pPr>
            <w:r>
              <w:rPr>
                <w:b/>
              </w:rPr>
              <w:t>As Adjusted</w:t>
            </w:r>
            <w:r>
              <w:rPr/>
              <w:t xml:space="preserve"> </w:t>
            </w:r>
          </w:p>
        </w:tc>
        <w:tc>
          <w:tcPr>
            <w:tcW w:w="231"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5850" w:type="dxa"/>
            <w:gridSpan w:val="12"/>
            <w:tcBorders/>
            <w:vAlign w:val="center"/>
          </w:tcPr>
          <w:p>
            <w:pPr>
              <w:pStyle w:val="TableContents"/>
              <w:bidi w:val="0"/>
              <w:spacing w:before="0" w:after="283"/>
              <w:jc w:val="center"/>
              <w:rPr/>
            </w:pPr>
            <w:r>
              <w:rPr/>
              <w:t xml:space="preserve">(In thousands) </w:t>
            </w:r>
          </w:p>
        </w:tc>
      </w:tr>
      <w:tr>
        <w:trPr/>
        <w:tc>
          <w:tcPr>
            <w:tcW w:w="4355" w:type="dxa"/>
            <w:tcBorders/>
            <w:vAlign w:val="center"/>
          </w:tcPr>
          <w:p>
            <w:pPr>
              <w:pStyle w:val="TableContents"/>
              <w:bidi w:val="0"/>
              <w:spacing w:before="0" w:after="0"/>
              <w:ind w:left="0" w:right="0" w:hanging="144"/>
              <w:jc w:val="center"/>
              <w:rPr/>
            </w:pPr>
            <w:r>
              <w:rPr>
                <w:b/>
              </w:rPr>
              <w:t>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Receivables: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Reinsurance recoverables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22,942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106" w:type="dxa"/>
            <w:tcBorders/>
            <w:shd w:fill="CCEEFF" w:val="clear"/>
            <w:vAlign w:val="center"/>
          </w:tcPr>
          <w:p>
            <w:pPr>
              <w:pStyle w:val="TableContents"/>
              <w:bidi w:val="0"/>
              <w:spacing w:before="0" w:after="283"/>
              <w:jc w:val="right"/>
              <w:rPr/>
            </w:pPr>
            <w:r>
              <w:rPr/>
              <w:t>(61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22,881</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Deferred income taxes,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19,290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(3,320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15,970</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Deferred acquisition costs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44,842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(3,598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41,244</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Other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11,828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11,826</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Total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389,020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(6,981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382,039</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center"/>
              <w:rPr/>
            </w:pPr>
            <w:r>
              <w:rPr>
                <w:b/>
              </w:rPr>
              <w:t>LIABILITIES AND SHAREHOLDERS’ EQUITY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Insurance reserves and policyholder funds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Future policy benefits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98,464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(21,583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76,881</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Unearned premiums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31,178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(2,333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28,845</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Other policy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1,757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4,492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6,249</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Total insurance reserves and policyholder funds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225,106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(19,424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205,682</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Total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290,892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(19,424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271,468</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210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49"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Shareholders’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210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49"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4355" w:type="dxa"/>
            <w:tcBorders/>
            <w:vAlign w:val="center"/>
          </w:tcPr>
          <w:p>
            <w:pPr>
              <w:pStyle w:val="TableContents"/>
              <w:bidi w:val="0"/>
              <w:spacing w:before="0" w:after="0"/>
              <w:ind w:left="0" w:right="0" w:hanging="144"/>
              <w:jc w:val="left"/>
              <w:rPr/>
            </w:pPr>
            <w:r>
              <w:rPr/>
              <w:t xml:space="preserve">Retained earnings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44,369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(870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43,499</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Accumulated other comprehensive loss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(18,712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13,313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(5,399</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Total shareholders’ equity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98,128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12,443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110,571</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Total liabilities and shareholders’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389,020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106" w:type="dxa"/>
            <w:tcBorders/>
            <w:shd w:fill="CCEEFF" w:val="clear"/>
            <w:vAlign w:val="center"/>
          </w:tcPr>
          <w:p>
            <w:pPr>
              <w:pStyle w:val="TableContents"/>
              <w:bidi w:val="0"/>
              <w:spacing w:before="0" w:after="283"/>
              <w:jc w:val="right"/>
              <w:rPr/>
            </w:pPr>
            <w:r>
              <w:rPr/>
              <w:t>(6,981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382,039</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 of operations: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933"/>
        <w:gridCol w:w="90"/>
        <w:gridCol w:w="170"/>
        <w:gridCol w:w="1141"/>
        <w:gridCol w:w="185"/>
        <w:gridCol w:w="90"/>
        <w:gridCol w:w="170"/>
        <w:gridCol w:w="2220"/>
        <w:gridCol w:w="437"/>
        <w:gridCol w:w="90"/>
        <w:gridCol w:w="170"/>
        <w:gridCol w:w="1276"/>
        <w:gridCol w:w="233"/>
      </w:tblGrid>
      <w:tr>
        <w:trPr/>
        <w:tc>
          <w:tcPr>
            <w:tcW w:w="39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283"/>
              <w:jc w:val="left"/>
              <w:rPr/>
            </w:pPr>
            <w:r>
              <w:rPr/>
              <w:t> </w:t>
            </w:r>
          </w:p>
        </w:tc>
        <w:tc>
          <w:tcPr>
            <w:tcW w:w="6272" w:type="dxa"/>
            <w:gridSpan w:val="12"/>
            <w:tcBorders>
              <w:bottom w:val="single" w:sz="12" w:space="0" w:color="000000"/>
            </w:tcBorders>
            <w:tcMar>
              <w:bottom w:w="28" w:type="dxa"/>
            </w:tcMar>
            <w:vAlign w:val="center"/>
          </w:tcPr>
          <w:p>
            <w:pPr>
              <w:pStyle w:val="TableContents"/>
              <w:bidi w:val="0"/>
              <w:spacing w:before="0" w:after="0"/>
              <w:jc w:val="center"/>
              <w:rPr/>
            </w:pPr>
            <w:r>
              <w:rPr>
                <w:b/>
              </w:rPr>
              <w:t>Year Ended December 31, 2024</w:t>
            </w:r>
            <w:r>
              <w:rPr/>
              <w:t xml:space="preserve"> </w:t>
            </w:r>
          </w:p>
        </w:tc>
      </w:tr>
      <w:tr>
        <w:trPr/>
        <w:tc>
          <w:tcPr>
            <w:tcW w:w="39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1"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220"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43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276"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33" w:type="dxa"/>
            <w:tcBorders/>
            <w:vAlign w:val="center"/>
          </w:tcPr>
          <w:p>
            <w:pPr>
              <w:pStyle w:val="TableContents"/>
              <w:bidi w:val="0"/>
              <w:spacing w:before="0" w:after="283"/>
              <w:jc w:val="center"/>
              <w:rPr/>
            </w:pPr>
            <w:r>
              <w:rPr/>
              <w:t> </w:t>
            </w:r>
          </w:p>
        </w:tc>
      </w:tr>
      <w:tr>
        <w:trPr/>
        <w:tc>
          <w:tcPr>
            <w:tcW w:w="3933" w:type="dxa"/>
            <w:tcBorders/>
            <w:vAlign w:val="center"/>
          </w:tcPr>
          <w:p>
            <w:pPr>
              <w:pStyle w:val="TableContents"/>
              <w:bidi w:val="0"/>
              <w:spacing w:before="0" w:after="283"/>
              <w:jc w:val="left"/>
              <w:rPr/>
            </w:pPr>
            <w:r>
              <w:rPr/>
              <w:t> </w:t>
            </w:r>
          </w:p>
        </w:tc>
        <w:tc>
          <w:tcPr>
            <w:tcW w:w="6272" w:type="dxa"/>
            <w:gridSpan w:val="12"/>
            <w:tcBorders>
              <w:bottom w:val="single" w:sz="12" w:space="0" w:color="000000"/>
            </w:tcBorders>
            <w:tcMar>
              <w:bottom w:w="28" w:type="dxa"/>
            </w:tcMar>
            <w:vAlign w:val="center"/>
          </w:tcPr>
          <w:p>
            <w:pPr>
              <w:pStyle w:val="TableContents"/>
              <w:bidi w:val="0"/>
              <w:spacing w:before="0" w:after="0"/>
              <w:jc w:val="center"/>
              <w:rPr/>
            </w:pPr>
            <w:r>
              <w:rPr/>
              <w:t xml:space="preserve">(In thousands, except share and per share data) </w:t>
            </w:r>
          </w:p>
        </w:tc>
      </w:tr>
      <w:tr>
        <w:trPr/>
        <w:tc>
          <w:tcPr>
            <w:tcW w:w="3933" w:type="dxa"/>
            <w:tcBorders/>
            <w:vAlign w:val="center"/>
          </w:tcPr>
          <w:p>
            <w:pPr>
              <w:pStyle w:val="TableContents"/>
              <w:bidi w:val="0"/>
              <w:spacing w:before="0" w:after="0"/>
              <w:ind w:left="0" w:right="0" w:hanging="144"/>
              <w:jc w:val="left"/>
              <w:rPr/>
            </w:pPr>
            <w:r>
              <w:rPr/>
              <w:t xml:space="preserve">Revenue: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283"/>
              <w:jc w:val="left"/>
              <w:rPr>
                <w:spacing w:val="0"/>
              </w:rPr>
            </w:pPr>
            <w:r>
              <w:rPr>
                <w:spacing w:val="0"/>
              </w:rPr>
              <w:t>Insurance premiums, net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vAlign w:val="center"/>
          </w:tcPr>
          <w:p>
            <w:pPr>
              <w:pStyle w:val="TableContents"/>
              <w:bidi w:val="0"/>
              <w:spacing w:before="0" w:after="283"/>
              <w:jc w:val="right"/>
              <w:rPr>
                <w:spacing w:val="0"/>
              </w:rPr>
            </w:pPr>
            <w:r>
              <w:rPr>
                <w:spacing w:val="0"/>
              </w:rPr>
              <w:t>178,380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220" w:type="dxa"/>
            <w:tcBorders/>
            <w:shd w:fill="CCEEFF" w:val="clear"/>
            <w:vAlign w:val="center"/>
          </w:tcPr>
          <w:p>
            <w:pPr>
              <w:pStyle w:val="TableContents"/>
              <w:bidi w:val="0"/>
              <w:spacing w:before="0" w:after="283"/>
              <w:jc w:val="right"/>
              <w:rPr>
                <w:spacing w:val="0"/>
              </w:rPr>
            </w:pPr>
            <w:r>
              <w:rPr>
                <w:spacing w:val="0"/>
              </w:rPr>
              <w:t>(208</w:t>
            </w:r>
          </w:p>
        </w:tc>
        <w:tc>
          <w:tcPr>
            <w:tcW w:w="437" w:type="dxa"/>
            <w:tcBorders/>
            <w:shd w:fill="CCEEFF" w:val="clear"/>
            <w:vAlign w:val="center"/>
          </w:tcPr>
          <w:p>
            <w:pPr>
              <w:pStyle w:val="TableContents"/>
              <w:bidi w:val="0"/>
              <w:spacing w:before="0" w:after="283"/>
              <w:jc w:val="left"/>
              <w:rPr/>
            </w:pPr>
            <w:r>
              <w:rPr/>
              <w:t>) (1)</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76" w:type="dxa"/>
            <w:tcBorders/>
            <w:shd w:fill="CCEEFF" w:val="clear"/>
            <w:vAlign w:val="center"/>
          </w:tcPr>
          <w:p>
            <w:pPr>
              <w:pStyle w:val="TableContents"/>
              <w:bidi w:val="0"/>
              <w:spacing w:before="0" w:after="283"/>
              <w:jc w:val="right"/>
              <w:rPr>
                <w:spacing w:val="0"/>
              </w:rPr>
            </w:pPr>
            <w:r>
              <w:rPr>
                <w:spacing w:val="0"/>
              </w:rPr>
              <w:t>178,588</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jc w:val="left"/>
              <w:rPr/>
            </w:pPr>
            <w:r>
              <w:rPr/>
              <w:t xml:space="preserve">Total revenue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187,876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206</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188,082</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Benefits and expenses: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jc w:val="left"/>
              <w:rPr/>
            </w:pPr>
            <w:r>
              <w:rPr/>
              <w:t xml:space="preserve">Insurance benefits and losses incurred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125,831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right"/>
              <w:rPr/>
            </w:pPr>
            <w:r>
              <w:rPr/>
              <w:t>(1,753</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124,078</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jc w:val="left"/>
              <w:rPr/>
            </w:pPr>
            <w:r>
              <w:rPr/>
              <w:t xml:space="preserve">Future policy benefits remeasurement (gain) loss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(2,334</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(2,334</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jc w:val="left"/>
              <w:rPr/>
            </w:pPr>
            <w:r>
              <w:rPr/>
              <w:t xml:space="preserve">Commissions and underwriting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48,030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right"/>
              <w:rPr/>
            </w:pPr>
            <w:r>
              <w:rPr/>
              <w:t>303</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48,333</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jc w:val="left"/>
              <w:rPr/>
            </w:pPr>
            <w:r>
              <w:rPr/>
              <w:t xml:space="preserve">Total benefits and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193,491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(3,784</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189,707</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Loss before income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(5,615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3,990</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(1,625</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ind w:left="0" w:right="0" w:hanging="144"/>
              <w:jc w:val="left"/>
              <w:rPr/>
            </w:pPr>
            <w:r>
              <w:rPr/>
              <w:t xml:space="preserve">Income tax benefit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right"/>
              <w:rPr/>
            </w:pPr>
            <w:r>
              <w:rPr/>
              <w:t>838</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(232</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Net loss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(4,545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3,152</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(1,393</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ind w:left="0" w:right="0" w:hanging="144"/>
              <w:jc w:val="left"/>
              <w:rPr/>
            </w:pPr>
            <w:r>
              <w:rPr/>
              <w:t xml:space="preserve">Net loss applicable to common shareholders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(4,944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220" w:type="dxa"/>
            <w:tcBorders/>
            <w:shd w:fill="CCEEFF" w:val="clear"/>
            <w:vAlign w:val="center"/>
          </w:tcPr>
          <w:p>
            <w:pPr>
              <w:pStyle w:val="TableContents"/>
              <w:bidi w:val="0"/>
              <w:spacing w:before="0" w:after="283"/>
              <w:jc w:val="right"/>
              <w:rPr/>
            </w:pPr>
            <w:r>
              <w:rPr/>
              <w:t>3,152</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(1,792</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Earnings (loss) per common share (basic)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220" w:type="dxa"/>
            <w:tcBorders/>
            <w:vAlign w:val="center"/>
          </w:tcPr>
          <w:p>
            <w:pPr>
              <w:pStyle w:val="TableContents"/>
              <w:bidi w:val="0"/>
              <w:spacing w:before="0" w:after="283"/>
              <w:jc w:val="right"/>
              <w:rPr/>
            </w:pPr>
            <w:r>
              <w:rPr/>
              <w:t>0.16</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(0.09</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ind w:left="0" w:right="0" w:hanging="144"/>
              <w:jc w:val="left"/>
              <w:rPr/>
            </w:pPr>
            <w:r>
              <w:rPr/>
              <w:t xml:space="preserve">Earnings (loss) per common share (diluted)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(0.25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220" w:type="dxa"/>
            <w:tcBorders/>
            <w:shd w:fill="CCEEFF" w:val="clear"/>
            <w:vAlign w:val="center"/>
          </w:tcPr>
          <w:p>
            <w:pPr>
              <w:pStyle w:val="TableContents"/>
              <w:bidi w:val="0"/>
              <w:spacing w:before="0" w:after="283"/>
              <w:jc w:val="right"/>
              <w:rPr/>
            </w:pPr>
            <w:r>
              <w:rPr/>
              <w:t>0.16</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(0.09</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(1) Related to reclassification of group accident and health from long duration to short duration.</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statements of comprehensive income: </w:t>
      </w:r>
    </w:p>
    <w:p>
      <w:pPr>
        <w:pStyle w:val="TextBody"/>
        <w:bidi w:val="0"/>
        <w:spacing w:before="0" w:after="0"/>
        <w:jc w:val="both"/>
        <w:rPr/>
      </w:pPr>
      <w:r>
        <w:rPr/>
        <w:t> </w:t>
      </w:r>
    </w:p>
    <w:p>
      <w:pPr>
        <w:pStyle w:val="TextBody"/>
        <w:bidi w:val="0"/>
        <w:spacing w:before="0" w:after="0"/>
        <w:ind w:left="0" w:right="0" w:hanging="0"/>
        <w:jc w:val="both"/>
        <w:rPr>
          <w:rFonts w:ascii="Times New Roman" w:hAnsi="Times New Roman"/>
          <w:spacing w:val="0"/>
          <w:sz w:val="20"/>
        </w:rPr>
      </w:pPr>
      <w:r>
        <w:rPr>
          <w:rFonts w:ascii="Times New Roman" w:hAnsi="Times New Roman"/>
          <w:spacing w:val="0"/>
          <w:sz w:val="20"/>
        </w:rPr>
        <w:t>Consolidated Statements of Comprehensive Income</w:t>
      </w:r>
    </w:p>
    <w:tbl>
      <w:tblPr>
        <w:tblW w:w="10205" w:type="dxa"/>
        <w:jc w:val="left"/>
        <w:tblInd w:w="0" w:type="dxa"/>
        <w:tblLayout w:type="fixed"/>
        <w:tblCellMar>
          <w:top w:w="0" w:type="dxa"/>
          <w:left w:w="0" w:type="dxa"/>
          <w:bottom w:w="0" w:type="dxa"/>
          <w:right w:w="0" w:type="dxa"/>
        </w:tblCellMar>
      </w:tblPr>
      <w:tblGrid>
        <w:gridCol w:w="4513"/>
        <w:gridCol w:w="90"/>
        <w:gridCol w:w="90"/>
        <w:gridCol w:w="1114"/>
        <w:gridCol w:w="185"/>
        <w:gridCol w:w="90"/>
        <w:gridCol w:w="170"/>
        <w:gridCol w:w="2107"/>
        <w:gridCol w:w="185"/>
        <w:gridCol w:w="90"/>
        <w:gridCol w:w="90"/>
        <w:gridCol w:w="1249"/>
        <w:gridCol w:w="232"/>
      </w:tblGrid>
      <w:tr>
        <w:trPr/>
        <w:tc>
          <w:tcPr>
            <w:tcW w:w="45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283"/>
              <w:jc w:val="both"/>
              <w:rPr/>
            </w:pPr>
            <w:r>
              <w:rPr/>
              <w:t> </w:t>
            </w:r>
          </w:p>
        </w:tc>
        <w:tc>
          <w:tcPr>
            <w:tcW w:w="5692" w:type="dxa"/>
            <w:gridSpan w:val="12"/>
            <w:tcBorders>
              <w:bottom w:val="single" w:sz="12" w:space="0" w:color="000000"/>
            </w:tcBorders>
            <w:tcMar>
              <w:bottom w:w="28" w:type="dxa"/>
            </w:tcMar>
            <w:vAlign w:val="center"/>
          </w:tcPr>
          <w:p>
            <w:pPr>
              <w:pStyle w:val="TableContents"/>
              <w:bidi w:val="0"/>
              <w:spacing w:before="0" w:after="283"/>
              <w:jc w:val="center"/>
              <w:rPr/>
            </w:pPr>
            <w:r>
              <w:rPr>
                <w:b/>
              </w:rPr>
              <w:t>Year Ended December 31, 2024</w:t>
            </w:r>
            <w:r>
              <w:rPr/>
              <w:t xml:space="preserve"> </w:t>
            </w:r>
          </w:p>
        </w:tc>
      </w:tr>
      <w:tr>
        <w:trPr/>
        <w:tc>
          <w:tcPr>
            <w:tcW w:w="451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4"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107"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32" w:type="dxa"/>
            <w:tcBorders/>
            <w:vAlign w:val="center"/>
          </w:tcPr>
          <w:p>
            <w:pPr>
              <w:pStyle w:val="TableContents"/>
              <w:bidi w:val="0"/>
              <w:spacing w:before="0" w:after="283"/>
              <w:jc w:val="center"/>
              <w:rPr/>
            </w:pPr>
            <w:r>
              <w:rPr/>
              <w:t> </w:t>
            </w:r>
          </w:p>
        </w:tc>
      </w:tr>
      <w:tr>
        <w:trPr/>
        <w:tc>
          <w:tcPr>
            <w:tcW w:w="4513" w:type="dxa"/>
            <w:tcBorders/>
            <w:vAlign w:val="center"/>
          </w:tcPr>
          <w:p>
            <w:pPr>
              <w:pStyle w:val="TableContents"/>
              <w:bidi w:val="0"/>
              <w:spacing w:before="0" w:after="283"/>
              <w:jc w:val="both"/>
              <w:rPr/>
            </w:pPr>
            <w:r>
              <w:rPr/>
              <w:t> </w:t>
            </w:r>
          </w:p>
        </w:tc>
        <w:tc>
          <w:tcPr>
            <w:tcW w:w="5692" w:type="dxa"/>
            <w:gridSpan w:val="12"/>
            <w:tcBorders>
              <w:bottom w:val="single" w:sz="12" w:space="0" w:color="000000"/>
            </w:tcBorders>
            <w:tcMar>
              <w:bottom w:w="28" w:type="dxa"/>
            </w:tcMar>
            <w:vAlign w:val="center"/>
          </w:tcPr>
          <w:p>
            <w:pPr>
              <w:pStyle w:val="TableContents"/>
              <w:bidi w:val="0"/>
              <w:spacing w:before="0" w:after="283"/>
              <w:jc w:val="center"/>
              <w:rPr/>
            </w:pPr>
            <w:r>
              <w:rPr/>
              <w:t xml:space="preserve">(In thousands) </w:t>
            </w:r>
          </w:p>
        </w:tc>
      </w:tr>
      <w:tr>
        <w:trPr/>
        <w:tc>
          <w:tcPr>
            <w:tcW w:w="4513" w:type="dxa"/>
            <w:tcBorders/>
            <w:shd w:fill="CCEEFF" w:val="clear"/>
            <w:vAlign w:val="center"/>
          </w:tcPr>
          <w:p>
            <w:pPr>
              <w:pStyle w:val="TableContents"/>
              <w:bidi w:val="0"/>
              <w:spacing w:before="0" w:after="0"/>
              <w:ind w:left="0" w:right="0" w:hanging="144"/>
              <w:jc w:val="left"/>
              <w:rPr/>
            </w:pPr>
            <w:r>
              <w:rPr/>
              <w:t xml:space="preserve">Net loss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(4,545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3,152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(1,393</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jc w:val="left"/>
              <w:rPr/>
            </w:pPr>
            <w:r>
              <w:rPr/>
              <w:t xml:space="preserve">Other comprehensive gain (loss):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0"/>
              <w:jc w:val="left"/>
              <w:rPr/>
            </w:pPr>
            <w:r>
              <w:rPr/>
              <w:t xml:space="preserve">Future policy benefit discount rate remeasurement gain (loss)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8,774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8,774</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ind w:left="0" w:right="0" w:hanging="144"/>
              <w:jc w:val="left"/>
              <w:rPr/>
            </w:pPr>
            <w:r>
              <w:rPr/>
              <w:t xml:space="preserve">Subtotal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(3,280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8,774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5,494</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jc w:val="left"/>
              <w:rPr/>
            </w:pPr>
            <w:r>
              <w:rPr/>
              <w:t xml:space="preserve">Related income tax effect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689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(1,843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(1,154</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0"/>
              <w:ind w:left="0" w:right="0" w:hanging="144"/>
              <w:jc w:val="left"/>
              <w:rPr/>
            </w:pPr>
            <w:r>
              <w:rPr/>
              <w:t xml:space="preserve">Subtotal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689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(1,843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(1,154</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0"/>
              <w:ind w:left="0" w:right="0" w:hanging="144"/>
              <w:jc w:val="left"/>
              <w:rPr/>
            </w:pPr>
            <w:r>
              <w:rPr/>
              <w:t xml:space="preserve">Total other comprehensive income, net of tax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(2,591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6,931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4,340</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ind w:left="0" w:right="0" w:hanging="144"/>
              <w:jc w:val="left"/>
              <w:rPr/>
            </w:pPr>
            <w:r>
              <w:rPr/>
              <w:t xml:space="preserve">Total comprehensive income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(7,136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right"/>
              <w:rPr/>
            </w:pPr>
            <w:r>
              <w:rPr/>
              <w:t>10,083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2,947</w:t>
            </w:r>
          </w:p>
        </w:tc>
        <w:tc>
          <w:tcPr>
            <w:tcW w:w="232"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statements of equity: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3967"/>
        <w:gridCol w:w="90"/>
        <w:gridCol w:w="170"/>
        <w:gridCol w:w="1168"/>
        <w:gridCol w:w="185"/>
        <w:gridCol w:w="90"/>
        <w:gridCol w:w="170"/>
        <w:gridCol w:w="2329"/>
        <w:gridCol w:w="185"/>
        <w:gridCol w:w="90"/>
        <w:gridCol w:w="170"/>
        <w:gridCol w:w="1303"/>
        <w:gridCol w:w="288"/>
      </w:tblGrid>
      <w:tr>
        <w:trPr/>
        <w:tc>
          <w:tcPr>
            <w:tcW w:w="39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283"/>
              <w:jc w:val="both"/>
              <w:rPr/>
            </w:pPr>
            <w:r>
              <w:rPr/>
              <w:t> </w:t>
            </w:r>
          </w:p>
        </w:tc>
        <w:tc>
          <w:tcPr>
            <w:tcW w:w="6238" w:type="dxa"/>
            <w:gridSpan w:val="12"/>
            <w:tcBorders>
              <w:bottom w:val="single" w:sz="12" w:space="0" w:color="000000"/>
            </w:tcBorders>
            <w:tcMar>
              <w:bottom w:w="28" w:type="dxa"/>
            </w:tcMar>
            <w:vAlign w:val="center"/>
          </w:tcPr>
          <w:p>
            <w:pPr>
              <w:pStyle w:val="TableContents"/>
              <w:bidi w:val="0"/>
              <w:spacing w:before="0" w:after="283"/>
              <w:jc w:val="center"/>
              <w:rPr/>
            </w:pPr>
            <w:r>
              <w:rPr>
                <w:b/>
              </w:rPr>
              <w:t>Year Ended December 31, 2024</w:t>
            </w:r>
            <w:r>
              <w:rPr/>
              <w:t xml:space="preserve"> </w:t>
            </w:r>
          </w:p>
        </w:tc>
      </w:tr>
      <w:tr>
        <w:trPr/>
        <w:tc>
          <w:tcPr>
            <w:tcW w:w="3967"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168"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29"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303"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88" w:type="dxa"/>
            <w:tcBorders/>
            <w:vAlign w:val="center"/>
          </w:tcPr>
          <w:p>
            <w:pPr>
              <w:pStyle w:val="TableContents"/>
              <w:bidi w:val="0"/>
              <w:spacing w:before="0" w:after="283"/>
              <w:jc w:val="both"/>
              <w:rPr/>
            </w:pPr>
            <w:r>
              <w:rPr/>
              <w:t> </w:t>
            </w:r>
          </w:p>
        </w:tc>
      </w:tr>
      <w:tr>
        <w:trPr/>
        <w:tc>
          <w:tcPr>
            <w:tcW w:w="3967" w:type="dxa"/>
            <w:tcBorders/>
            <w:vAlign w:val="center"/>
          </w:tcPr>
          <w:p>
            <w:pPr>
              <w:pStyle w:val="TableContents"/>
              <w:bidi w:val="0"/>
              <w:spacing w:before="0" w:after="0"/>
              <w:ind w:left="0" w:right="0" w:hanging="144"/>
              <w:jc w:val="left"/>
              <w:rPr/>
            </w:pPr>
            <w:r>
              <w:rPr/>
              <w:t xml:space="preserve">(In thousands)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0"/>
              <w:ind w:left="0" w:right="0" w:hanging="144"/>
              <w:jc w:val="left"/>
              <w:rPr/>
            </w:pPr>
            <w:r>
              <w:rPr>
                <w:b/>
              </w:rPr>
              <w:t>Retained earnings: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beginning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49,721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329" w:type="dxa"/>
            <w:tcBorders/>
            <w:shd w:fill="CCEEFF" w:val="clear"/>
            <w:vAlign w:val="center"/>
          </w:tcPr>
          <w:p>
            <w:pPr>
              <w:pStyle w:val="TableContents"/>
              <w:bidi w:val="0"/>
              <w:spacing w:before="0" w:after="283"/>
              <w:jc w:val="right"/>
              <w:rPr/>
            </w:pPr>
            <w:r>
              <w:rPr/>
              <w:t>(4,022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45,699</w:t>
            </w:r>
          </w:p>
        </w:tc>
        <w:tc>
          <w:tcPr>
            <w:tcW w:w="288" w:type="dxa"/>
            <w:tcBorders/>
            <w:shd w:fill="CCEEFF" w:val="clear"/>
            <w:vAlign w:val="center"/>
          </w:tcPr>
          <w:p>
            <w:pPr>
              <w:pStyle w:val="TableContents"/>
              <w:bidi w:val="0"/>
              <w:spacing w:before="0" w:after="283"/>
              <w:ind w:left="0" w:right="0" w:firstLine="150"/>
              <w:jc w:val="left"/>
              <w:rPr/>
            </w:pPr>
            <w:r>
              <w:rPr/>
              <w:t> </w:t>
            </w:r>
          </w:p>
        </w:tc>
      </w:tr>
      <w:tr>
        <w:trPr/>
        <w:tc>
          <w:tcPr>
            <w:tcW w:w="3967"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(4,545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right"/>
              <w:rPr/>
            </w:pPr>
            <w:r>
              <w:rPr/>
              <w:t>3,152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(1,393</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end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44,369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29" w:type="dxa"/>
            <w:tcBorders/>
            <w:shd w:fill="CCEEFF" w:val="clear"/>
            <w:vAlign w:val="center"/>
          </w:tcPr>
          <w:p>
            <w:pPr>
              <w:pStyle w:val="TableContents"/>
              <w:bidi w:val="0"/>
              <w:spacing w:before="0" w:after="283"/>
              <w:jc w:val="right"/>
              <w:rPr/>
            </w:pPr>
            <w:r>
              <w:rPr/>
              <w:t>(870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43,499</w:t>
            </w:r>
          </w:p>
        </w:tc>
        <w:tc>
          <w:tcPr>
            <w:tcW w:w="288" w:type="dxa"/>
            <w:tcBorders/>
            <w:shd w:fill="CCEEFF" w:val="clear"/>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0"/>
              <w:ind w:left="0" w:right="0" w:hanging="144"/>
              <w:jc w:val="left"/>
              <w:rPr/>
            </w:pPr>
            <w:r>
              <w:rPr>
                <w:b/>
              </w:rPr>
              <w:t>Accumulated other comprehensive loss: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beginning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(16,121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29" w:type="dxa"/>
            <w:tcBorders/>
            <w:shd w:fill="CCEEFF" w:val="clear"/>
            <w:vAlign w:val="center"/>
          </w:tcPr>
          <w:p>
            <w:pPr>
              <w:pStyle w:val="TableContents"/>
              <w:bidi w:val="0"/>
              <w:spacing w:before="0" w:after="283"/>
              <w:jc w:val="right"/>
              <w:rPr/>
            </w:pPr>
            <w:r>
              <w:rPr/>
              <w:t>6,382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(9,739</w:t>
            </w:r>
          </w:p>
        </w:tc>
        <w:tc>
          <w:tcPr>
            <w:tcW w:w="288" w:type="dxa"/>
            <w:tcBorders/>
            <w:shd w:fill="CCEEFF" w:val="clear"/>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0"/>
              <w:jc w:val="left"/>
              <w:rPr/>
            </w:pPr>
            <w:r>
              <w:rPr/>
              <w:t xml:space="preserve">Other comprehensive income (loss), net of tax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(2,591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right"/>
              <w:rPr/>
            </w:pPr>
            <w:r>
              <w:rPr/>
              <w:t>6,931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4,340</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end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(18,712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29" w:type="dxa"/>
            <w:tcBorders/>
            <w:shd w:fill="CCEEFF" w:val="clear"/>
            <w:vAlign w:val="center"/>
          </w:tcPr>
          <w:p>
            <w:pPr>
              <w:pStyle w:val="TableContents"/>
              <w:bidi w:val="0"/>
              <w:spacing w:before="0" w:after="283"/>
              <w:jc w:val="right"/>
              <w:rPr/>
            </w:pPr>
            <w:r>
              <w:rPr/>
              <w:t>13,313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(5,399</w:t>
            </w:r>
          </w:p>
        </w:tc>
        <w:tc>
          <w:tcPr>
            <w:tcW w:w="288" w:type="dxa"/>
            <w:tcBorders/>
            <w:shd w:fill="CCEEFF" w:val="clear"/>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68"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232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303" w:type="dxa"/>
            <w:tcBorders/>
            <w:vAlign w:val="center"/>
          </w:tcPr>
          <w:p>
            <w:pPr>
              <w:pStyle w:val="TableContents"/>
              <w:bidi w:val="0"/>
              <w:spacing w:before="0" w:after="283"/>
              <w:jc w:val="right"/>
              <w:rPr/>
            </w:pPr>
            <w:r>
              <w:rPr/>
              <w:t> </w:t>
            </w:r>
          </w:p>
        </w:tc>
        <w:tc>
          <w:tcPr>
            <w:tcW w:w="288" w:type="dxa"/>
            <w:tcBorders/>
            <w:vAlign w:val="center"/>
          </w:tcPr>
          <w:p>
            <w:pPr>
              <w:pStyle w:val="TableContents"/>
              <w:bidi w:val="0"/>
              <w:spacing w:before="0" w:after="283"/>
              <w:jc w:val="right"/>
              <w:rPr/>
            </w:pPr>
            <w:r>
              <w:rPr/>
              <w:t> </w:t>
            </w:r>
          </w:p>
        </w:tc>
      </w:tr>
      <w:tr>
        <w:trPr/>
        <w:tc>
          <w:tcPr>
            <w:tcW w:w="3967" w:type="dxa"/>
            <w:tcBorders/>
            <w:shd w:fill="CCEEFF" w:val="clear"/>
            <w:vAlign w:val="center"/>
          </w:tcPr>
          <w:p>
            <w:pPr>
              <w:pStyle w:val="TableContents"/>
              <w:bidi w:val="0"/>
              <w:spacing w:before="0" w:after="0"/>
              <w:ind w:left="0" w:right="0" w:hanging="144"/>
              <w:jc w:val="left"/>
              <w:rPr/>
            </w:pPr>
            <w:r>
              <w:rPr/>
              <w:t xml:space="preserve">Total shareholders’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98,128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329" w:type="dxa"/>
            <w:tcBorders/>
            <w:shd w:fill="CCEEFF" w:val="clear"/>
            <w:vAlign w:val="center"/>
          </w:tcPr>
          <w:p>
            <w:pPr>
              <w:pStyle w:val="TableContents"/>
              <w:bidi w:val="0"/>
              <w:spacing w:before="0" w:after="283"/>
              <w:jc w:val="right"/>
              <w:rPr/>
            </w:pPr>
            <w:r>
              <w:rPr/>
              <w:t>12,443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110,571</w:t>
            </w:r>
          </w:p>
        </w:tc>
        <w:tc>
          <w:tcPr>
            <w:tcW w:w="28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statements of cash flows: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723"/>
        <w:gridCol w:w="90"/>
        <w:gridCol w:w="170"/>
        <w:gridCol w:w="1056"/>
        <w:gridCol w:w="185"/>
        <w:gridCol w:w="90"/>
        <w:gridCol w:w="170"/>
        <w:gridCol w:w="1857"/>
        <w:gridCol w:w="185"/>
        <w:gridCol w:w="90"/>
        <w:gridCol w:w="170"/>
        <w:gridCol w:w="1187"/>
        <w:gridCol w:w="232"/>
      </w:tblGrid>
      <w:tr>
        <w:trPr/>
        <w:tc>
          <w:tcPr>
            <w:tcW w:w="47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283"/>
              <w:jc w:val="both"/>
              <w:rPr/>
            </w:pPr>
            <w:r>
              <w:rPr/>
              <w:t> </w:t>
            </w:r>
          </w:p>
        </w:tc>
        <w:tc>
          <w:tcPr>
            <w:tcW w:w="5482" w:type="dxa"/>
            <w:gridSpan w:val="12"/>
            <w:tcBorders>
              <w:bottom w:val="single" w:sz="12" w:space="0" w:color="000000"/>
            </w:tcBorders>
            <w:tcMar>
              <w:bottom w:w="28" w:type="dxa"/>
            </w:tcMar>
            <w:vAlign w:val="center"/>
          </w:tcPr>
          <w:p>
            <w:pPr>
              <w:pStyle w:val="TableContents"/>
              <w:bidi w:val="0"/>
              <w:spacing w:before="0" w:after="283"/>
              <w:jc w:val="both"/>
              <w:rPr/>
            </w:pPr>
            <w:r>
              <w:rPr>
                <w:b/>
              </w:rPr>
              <w:t>Year Ended December 31, 2024</w:t>
            </w:r>
            <w:r>
              <w:rPr/>
              <w:t xml:space="preserve"> </w:t>
            </w:r>
          </w:p>
        </w:tc>
      </w:tr>
      <w:tr>
        <w:trPr/>
        <w:tc>
          <w:tcPr>
            <w:tcW w:w="472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56"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857"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7"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32" w:type="dxa"/>
            <w:tcBorders/>
            <w:vAlign w:val="center"/>
          </w:tcPr>
          <w:p>
            <w:pPr>
              <w:pStyle w:val="TableContents"/>
              <w:bidi w:val="0"/>
              <w:spacing w:before="0" w:after="283"/>
              <w:jc w:val="center"/>
              <w:rPr/>
            </w:pPr>
            <w:r>
              <w:rPr/>
              <w:t> </w:t>
            </w:r>
          </w:p>
        </w:tc>
      </w:tr>
      <w:tr>
        <w:trPr/>
        <w:tc>
          <w:tcPr>
            <w:tcW w:w="4723" w:type="dxa"/>
            <w:tcBorders/>
            <w:vAlign w:val="center"/>
          </w:tcPr>
          <w:p>
            <w:pPr>
              <w:pStyle w:val="TableContents"/>
              <w:bidi w:val="0"/>
              <w:spacing w:before="0" w:after="283"/>
              <w:jc w:val="both"/>
              <w:rPr/>
            </w:pPr>
            <w:r>
              <w:rPr/>
              <w:t> </w:t>
            </w:r>
          </w:p>
        </w:tc>
        <w:tc>
          <w:tcPr>
            <w:tcW w:w="5482" w:type="dxa"/>
            <w:gridSpan w:val="12"/>
            <w:tcBorders/>
            <w:vAlign w:val="center"/>
          </w:tcPr>
          <w:p>
            <w:pPr>
              <w:pStyle w:val="TableContents"/>
              <w:bidi w:val="0"/>
              <w:spacing w:before="0" w:after="283"/>
              <w:jc w:val="center"/>
              <w:rPr/>
            </w:pPr>
            <w:r>
              <w:rPr/>
              <w:t xml:space="preserve">(In thousands) </w:t>
            </w:r>
          </w:p>
        </w:tc>
      </w:tr>
      <w:tr>
        <w:trPr/>
        <w:tc>
          <w:tcPr>
            <w:tcW w:w="4723" w:type="dxa"/>
            <w:tcBorders/>
            <w:vAlign w:val="center"/>
          </w:tcPr>
          <w:p>
            <w:pPr>
              <w:pStyle w:val="TableContents"/>
              <w:bidi w:val="0"/>
              <w:spacing w:before="0" w:after="0"/>
              <w:ind w:left="0" w:right="0" w:hanging="144"/>
              <w:jc w:val="left"/>
              <w:rPr/>
            </w:pPr>
            <w:r>
              <w:rPr>
                <w:b/>
              </w:rPr>
              <w:t>Cash flows from operating activities: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ind w:left="0" w:right="0" w:hanging="144"/>
              <w:jc w:val="left"/>
              <w:rPr/>
            </w:pPr>
            <w:r>
              <w:rPr/>
              <w:t xml:space="preserve">Net loss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(4,545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857" w:type="dxa"/>
            <w:tcBorders/>
            <w:shd w:fill="CCEEFF" w:val="clear"/>
            <w:vAlign w:val="center"/>
          </w:tcPr>
          <w:p>
            <w:pPr>
              <w:pStyle w:val="TableContents"/>
              <w:bidi w:val="0"/>
              <w:spacing w:before="0" w:after="283"/>
              <w:jc w:val="right"/>
              <w:rPr/>
            </w:pPr>
            <w:r>
              <w:rPr/>
              <w:t>3,152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(1,393</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ind w:left="0" w:right="0" w:hanging="144"/>
              <w:jc w:val="left"/>
              <w:rPr/>
            </w:pPr>
            <w:r>
              <w:rPr/>
              <w:t xml:space="preserve">Adjustments to reconcile net income to net cash provided by operating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Amortization of deferred acquisition costs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16,645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1,906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18,551</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jc w:val="left"/>
              <w:rPr/>
            </w:pPr>
            <w:r>
              <w:rPr/>
              <w:t xml:space="preserve">Acquisition costs deferred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(17,637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(1,602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(19,239</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Benefit provision for credit losses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jc w:val="left"/>
              <w:rPr/>
            </w:pPr>
            <w:r>
              <w:rPr/>
              <w:t xml:space="preserve">Deferred income tax benefit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(4,127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837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(3,290</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Increase in receivables,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2,889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2,888</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jc w:val="left"/>
              <w:rPr/>
            </w:pPr>
            <w:r>
              <w:rPr/>
              <w:t xml:space="preserve">Increase in insurance reserves and policyholder funds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12,684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(7,204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5,480</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Net cash provided by operating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4,800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857"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4,800</w:t>
            </w:r>
          </w:p>
        </w:tc>
        <w:tc>
          <w:tcPr>
            <w:tcW w:w="232" w:type="dxa"/>
            <w:tcBorders/>
            <w:shd w:fill="CCEEFF" w:val="clear"/>
            <w:vAlign w:val="center"/>
          </w:tcPr>
          <w:p>
            <w:pPr>
              <w:pStyle w:val="TableContents"/>
              <w:bidi w:val="0"/>
              <w:spacing w:before="0" w:after="283"/>
              <w:jc w:val="left"/>
              <w:rPr/>
            </w:pPr>
            <w:r>
              <w:rPr/>
              <w:t> </w:t>
            </w:r>
          </w:p>
        </w:tc>
      </w:tr>
    </w:tbl>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Future Adoption of New Accounting Standards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Expense Disaggregation Disclosures</w:t>
      </w:r>
      <w:r>
        <w:rPr>
          <w:rFonts w:ascii="Times New Roman" w:hAnsi="Times New Roman"/>
          <w:sz w:val="20"/>
        </w:rPr>
        <w:t xml:space="preserve">. 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(“ASU 2024-03”). This Update requires disaggregated disclosure of income statement expenses for public business entities (“PBE”). The ASU does not change the expense captions an entity presents on the face of the income statement; rather, it requires disaggregation of certain expense captions into specified categories in disclosures within the footnotes to the financial statements. ASU 2024-03 adds ASC 220-40 to require a footnote disclosure about specific expenses by requiring companies to disaggregate, in a tabular presentation, each relevant expense caption on the face of the income statement that includes employee compensation, depreciation, and intangible asset amortization. The tabular disclosure would also include certain other expenses, which do not apply to the Company. The ASU does not change or remove existing expense disclosure requirements; however, it may affect where that information appears in the footnotes to the financial statements. ASU 2024-03 is effective for all PBEs for fiscal years beginning after December 15, 2026, and interim periods within fiscal years beginning after December 15, 2027, with early adoption permitted. The Company is currently evaluating the new guidance and any effect it will have on the Company’s Consolidated Financial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Accounting for Internal-Use Software.</w:t>
      </w:r>
      <w:r>
        <w:rPr>
          <w:rFonts w:ascii="Times New Roman" w:hAnsi="Times New Roman"/>
          <w:sz w:val="20"/>
        </w:rPr>
        <w:t xml:space="preserve"> In September 2025, the FASB issued ASU No. 2025-06 </w:t>
      </w:r>
      <w:r>
        <w:rPr>
          <w:rFonts w:ascii="Times New Roman" w:hAnsi="Times New Roman"/>
          <w:i/>
          <w:sz w:val="20"/>
        </w:rPr>
        <w:t>Intangibles – Goodwill and Other – Internal-Use Software</w:t>
      </w:r>
      <w:r>
        <w:rPr>
          <w:rFonts w:ascii="Times New Roman" w:hAnsi="Times New Roman"/>
          <w:sz w:val="20"/>
        </w:rPr>
        <w:t xml:space="preserve"> (“ASU 350-40”): </w:t>
      </w:r>
      <w:r>
        <w:rPr>
          <w:rFonts w:ascii="Times New Roman" w:hAnsi="Times New Roman"/>
          <w:i/>
          <w:sz w:val="20"/>
        </w:rPr>
        <w:t>Targeted Improvements to the Accounting for Internal-Use Software.</w:t>
      </w:r>
      <w:r>
        <w:rPr>
          <w:rFonts w:ascii="Times New Roman" w:hAnsi="Times New Roman"/>
          <w:sz w:val="20"/>
        </w:rPr>
        <w:t xml:space="preserve"> The update modernizes the accounting guidance based on stakeholder concerns that the existing guidance was designed around “waterfall” software development methods and does not align well with today’s agile and iterative development practices. The most significant change is the elimination of the existing software development “project stage” model as the trigger for capitalization. Instead, entities begin capitalizing internal-use software costs when management has authorized and committed funding for the project and it is probable the project will be completed and the software will be used as intended. The ASU does not change accounting for software to be sold, leased, or marketed externally (ASC 985-20), the requirement to expense items such as training, maintenance, data conversion, and data migration costs as incurred and the point at which capitalization ceases, which remains when the software is substantially complete and ready for its intended use. ASU 2025-06 is effective for all PBEs for fiscal years beginning after December 15, 2027, and interim periods within fiscal years beginning after December 15, 2027, with early adoption permitted. The Company is currently evaluating the new guidance and any effect it will have on the Company’s Consolidated Financial Statements.</w:t>
      </w:r>
    </w:p>
    <w:p>
      <w:pPr>
        <w:pStyle w:val="TextBody"/>
        <w:bidi w:val="0"/>
        <w:spacing w:before="0" w:after="0"/>
        <w:jc w:val="left"/>
        <w:rPr/>
      </w:pPr>
      <w:r>
        <w:rPr/>
      </w:r>
    </w:p>
    <w:p>
      <w:pPr>
        <w:pStyle w:val="TextBody"/>
        <w:bidi w:val="0"/>
        <w:spacing w:before="0" w:after="0"/>
        <w:ind w:left="2" w:right="0" w:hanging="0"/>
        <w:jc w:val="left"/>
        <w:rPr>
          <w:rFonts w:ascii="Times New Roman" w:hAnsi="Times New Roman"/>
          <w:b/>
          <w:sz w:val="20"/>
        </w:rPr>
      </w:pPr>
      <w:r>
        <w:rPr>
          <w:rFonts w:ascii="Times New Roman" w:hAnsi="Times New Roman"/>
          <w:b/>
          <w:sz w:val="20"/>
        </w:rPr>
        <w:t>Note 2. Investments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tables set forth the estimated fair value, gross unrealized gains, gross unrealized losses, allowance for credit losses and cost or amortized cost of the Company’s investments in fixed maturity and equity securities, aggregated by type and industry, as of December 31, 2025 and December 31, 2024.</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Fixed maturity securities were comprised of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6" w:name="zceab2c88175146368e3d800418435f64"/>
      <w:bookmarkStart w:id="147" w:name="zceab2c88175146368e3d800418435f64"/>
      <w:bookmarkEnd w:id="147"/>
    </w:p>
    <w:tbl>
      <w:tblPr>
        <w:tblW w:w="10205" w:type="dxa"/>
        <w:jc w:val="left"/>
        <w:tblInd w:w="0" w:type="dxa"/>
        <w:tblLayout w:type="fixed"/>
        <w:tblCellMar>
          <w:top w:w="0" w:type="dxa"/>
          <w:left w:w="0" w:type="dxa"/>
          <w:bottom w:w="0" w:type="dxa"/>
          <w:right w:w="0" w:type="dxa"/>
        </w:tblCellMar>
      </w:tblPr>
      <w:tblGrid>
        <w:gridCol w:w="3554"/>
        <w:gridCol w:w="150"/>
        <w:gridCol w:w="185"/>
        <w:gridCol w:w="909"/>
        <w:gridCol w:w="90"/>
        <w:gridCol w:w="90"/>
        <w:gridCol w:w="259"/>
        <w:gridCol w:w="901"/>
        <w:gridCol w:w="90"/>
        <w:gridCol w:w="90"/>
        <w:gridCol w:w="224"/>
        <w:gridCol w:w="936"/>
        <w:gridCol w:w="90"/>
        <w:gridCol w:w="90"/>
        <w:gridCol w:w="642"/>
        <w:gridCol w:w="473"/>
        <w:gridCol w:w="90"/>
        <w:gridCol w:w="90"/>
        <w:gridCol w:w="192"/>
        <w:gridCol w:w="938"/>
        <w:gridCol w:w="122"/>
      </w:tblGrid>
      <w:tr>
        <w:trPr/>
        <w:tc>
          <w:tcPr>
            <w:tcW w:w="3554" w:type="dxa"/>
            <w:vMerge w:val="restart"/>
            <w:tcBorders/>
            <w:vAlign w:val="bottom"/>
          </w:tcPr>
          <w:p>
            <w:pPr>
              <w:pStyle w:val="TableContents"/>
              <w:bidi w:val="0"/>
              <w:spacing w:before="0" w:after="283"/>
              <w:jc w:val="left"/>
              <w:rPr/>
            </w:pPr>
            <w:r>
              <w:rPr/>
            </w:r>
          </w:p>
        </w:tc>
        <w:tc>
          <w:tcPr>
            <w:tcW w:w="150" w:type="dxa"/>
            <w:vMerge w:val="restart"/>
            <w:tcBorders/>
            <w:vAlign w:val="bottom"/>
          </w:tcPr>
          <w:p>
            <w:pPr>
              <w:pStyle w:val="TableContents"/>
              <w:bidi w:val="0"/>
              <w:spacing w:before="0" w:after="283"/>
              <w:jc w:val="left"/>
              <w:rPr/>
            </w:pPr>
            <w:r>
              <w:rPr/>
              <w:t>  </w:t>
            </w:r>
          </w:p>
        </w:tc>
        <w:tc>
          <w:tcPr>
            <w:tcW w:w="6379" w:type="dxa"/>
            <w:gridSpan w:val="18"/>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2" w:type="dxa"/>
            <w:tcBorders/>
            <w:vAlign w:val="bottom"/>
          </w:tcPr>
          <w:p>
            <w:pPr>
              <w:pStyle w:val="TableContents"/>
              <w:bidi w:val="0"/>
              <w:spacing w:before="0" w:after="283"/>
              <w:jc w:val="left"/>
              <w:rPr/>
            </w:pPr>
            <w:r>
              <w:rPr/>
              <w:t> </w:t>
            </w:r>
          </w:p>
        </w:tc>
      </w:tr>
      <w:tr>
        <w:trPr/>
        <w:tc>
          <w:tcPr>
            <w:tcW w:w="3554"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094"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for</w:t>
            </w:r>
          </w:p>
          <w:p>
            <w:pPr>
              <w:pStyle w:val="TableContents"/>
              <w:bidi w:val="0"/>
              <w:spacing w:before="0" w:after="0"/>
              <w:jc w:val="center"/>
              <w:rPr>
                <w:b/>
              </w:rPr>
            </w:pPr>
            <w:r>
              <w:rPr>
                <w:b/>
              </w:rPr>
              <w:t>Credit</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122" w:type="dxa"/>
            <w:tcBorders/>
            <w:vAlign w:val="center"/>
          </w:tcPr>
          <w:p>
            <w:pPr>
              <w:pStyle w:val="TableContents"/>
              <w:bidi w:val="0"/>
              <w:spacing w:before="0" w:after="283"/>
              <w:jc w:val="center"/>
              <w:rPr/>
            </w:pPr>
            <w:r>
              <w:rPr/>
              <w:t> </w:t>
            </w:r>
          </w:p>
        </w:tc>
      </w:tr>
      <w:tr>
        <w:trPr/>
        <w:tc>
          <w:tcPr>
            <w:tcW w:w="3554" w:type="dxa"/>
            <w:tcBorders/>
            <w:vAlign w:val="bottom"/>
          </w:tcPr>
          <w:p>
            <w:pPr>
              <w:pStyle w:val="TableContents"/>
              <w:bidi w:val="0"/>
              <w:spacing w:before="0" w:after="0"/>
              <w:ind w:left="180" w:right="0" w:hanging="180"/>
              <w:jc w:val="left"/>
              <w:rPr/>
            </w:pPr>
            <w:r>
              <w:rPr/>
              <w:t>Fixed maturity securities:</w:t>
            </w:r>
          </w:p>
        </w:tc>
        <w:tc>
          <w:tcPr>
            <w:tcW w:w="150"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360" w:right="0" w:hanging="180"/>
              <w:jc w:val="left"/>
              <w:rPr/>
            </w:pPr>
            <w:r>
              <w:rPr/>
              <w:t>Bonds:</w:t>
            </w:r>
          </w:p>
        </w:tc>
        <w:tc>
          <w:tcPr>
            <w:tcW w:w="150"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540" w:right="0" w:hanging="180"/>
              <w:jc w:val="left"/>
              <w:rPr/>
            </w:pPr>
            <w:r>
              <w:rPr/>
              <w:t>U.S. Treasury securities and obligations of U.S. Government agencies and authorities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24,067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207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1,525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25,385</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540" w:right="0" w:hanging="180"/>
              <w:jc w:val="left"/>
              <w:rPr/>
            </w:pPr>
            <w:r>
              <w:rPr/>
              <w:t>Loan backed and structured securities</w:t>
            </w:r>
          </w:p>
        </w:tc>
        <w:tc>
          <w:tcPr>
            <w:tcW w:w="15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29,033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192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1,322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30,163</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540" w:right="0" w:hanging="180"/>
              <w:jc w:val="left"/>
              <w:rPr/>
            </w:pPr>
            <w:r>
              <w:rPr/>
              <w:t>Obligations of states and political subdivisions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7,335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1,445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8,764</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540" w:right="0" w:hanging="180"/>
              <w:jc w:val="left"/>
              <w:rPr/>
            </w:pPr>
            <w:r>
              <w:rPr/>
              <w:t>Corporate securities:</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720" w:right="0" w:hanging="180"/>
              <w:jc w:val="left"/>
              <w:rPr/>
            </w:pPr>
            <w:r>
              <w:rPr/>
              <w:t>Utilities and telecom</w:t>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30,844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2,736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33,340</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720" w:right="0" w:hanging="180"/>
              <w:jc w:val="left"/>
              <w:rPr/>
            </w:pPr>
            <w:r>
              <w:rPr/>
              <w:t>Financial services</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65,779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pPr>
            <w:r>
              <w:rPr/>
              <w:t>952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3,193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68,020</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720" w:right="0" w:hanging="180"/>
              <w:jc w:val="left"/>
              <w:rPr/>
            </w:pPr>
            <w:r>
              <w:rPr/>
              <w:t>Other business – diversified</w:t>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41,191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3,184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44,201</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720" w:right="0" w:hanging="180"/>
              <w:jc w:val="left"/>
              <w:rPr/>
            </w:pPr>
            <w:r>
              <w:rPr/>
              <w:t>Other consumer – diversified</w:t>
            </w:r>
          </w:p>
        </w:tc>
        <w:tc>
          <w:tcPr>
            <w:tcW w:w="15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45,658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4,597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50,158</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900" w:right="0" w:hanging="180"/>
              <w:jc w:val="left"/>
              <w:rPr/>
            </w:pPr>
            <w:r>
              <w:rPr/>
              <w:t>Total corporate securities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183,472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1,463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13,710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195,719</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360" w:right="0" w:hanging="180"/>
              <w:jc w:val="left"/>
              <w:rPr/>
            </w:pPr>
            <w:r>
              <w:rPr/>
              <w:t>Redeemable preferred stocks:</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540" w:right="0" w:hanging="0"/>
              <w:jc w:val="left"/>
              <w:rPr/>
            </w:pPr>
            <w:r>
              <w:rPr/>
              <w:t>Other consumer – diversified</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204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194</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720" w:right="0" w:hanging="0"/>
              <w:jc w:val="left"/>
              <w:rPr/>
            </w:pPr>
            <w:r>
              <w:rPr/>
              <w:t>Total redeemable preferred stocks</w:t>
            </w:r>
          </w:p>
        </w:tc>
        <w:tc>
          <w:tcPr>
            <w:tcW w:w="15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204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194</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900" w:right="0" w:hanging="0"/>
              <w:jc w:val="left"/>
              <w:rPr/>
            </w:pPr>
            <w:r>
              <w:rPr/>
              <w:t>Total fixed maturity securities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double" w:sz="8" w:space="0" w:color="000000"/>
            </w:tcBorders>
            <w:shd w:fill="CCEEFF" w:val="clear"/>
            <w:tcMar>
              <w:bottom w:w="28" w:type="dxa"/>
            </w:tcMar>
            <w:vAlign w:val="bottom"/>
          </w:tcPr>
          <w:p>
            <w:pPr>
              <w:pStyle w:val="TableContents"/>
              <w:bidi w:val="0"/>
              <w:spacing w:before="0" w:after="0"/>
              <w:jc w:val="right"/>
              <w:rPr/>
            </w:pPr>
            <w:r>
              <w:rPr/>
              <w:t>244,111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1,888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18,002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pPr>
            <w:r>
              <w:rPr/>
              <w:t>260,225</w:t>
            </w:r>
          </w:p>
        </w:tc>
        <w:tc>
          <w:tcPr>
            <w:tcW w:w="12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cf1be8684aba4203a127f925a8345f39"/>
      <w:bookmarkStart w:id="149" w:name="zcf1be8684aba4203a127f925a8345f39"/>
      <w:bookmarkEnd w:id="149"/>
    </w:p>
    <w:tbl>
      <w:tblPr>
        <w:tblW w:w="10205" w:type="dxa"/>
        <w:jc w:val="left"/>
        <w:tblInd w:w="0" w:type="dxa"/>
        <w:tblLayout w:type="fixed"/>
        <w:tblCellMar>
          <w:top w:w="0" w:type="dxa"/>
          <w:left w:w="0" w:type="dxa"/>
          <w:bottom w:w="0" w:type="dxa"/>
          <w:right w:w="0" w:type="dxa"/>
        </w:tblCellMar>
      </w:tblPr>
      <w:tblGrid>
        <w:gridCol w:w="3613"/>
        <w:gridCol w:w="90"/>
        <w:gridCol w:w="185"/>
        <w:gridCol w:w="911"/>
        <w:gridCol w:w="90"/>
        <w:gridCol w:w="90"/>
        <w:gridCol w:w="340"/>
        <w:gridCol w:w="820"/>
        <w:gridCol w:w="90"/>
        <w:gridCol w:w="90"/>
        <w:gridCol w:w="224"/>
        <w:gridCol w:w="936"/>
        <w:gridCol w:w="90"/>
        <w:gridCol w:w="90"/>
        <w:gridCol w:w="642"/>
        <w:gridCol w:w="473"/>
        <w:gridCol w:w="90"/>
        <w:gridCol w:w="90"/>
        <w:gridCol w:w="192"/>
        <w:gridCol w:w="938"/>
        <w:gridCol w:w="121"/>
      </w:tblGrid>
      <w:tr>
        <w:trPr/>
        <w:tc>
          <w:tcPr>
            <w:tcW w:w="36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81" w:type="dxa"/>
            <w:gridSpan w:val="18"/>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1"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for</w:t>
            </w:r>
          </w:p>
          <w:p>
            <w:pPr>
              <w:pStyle w:val="TableContents"/>
              <w:bidi w:val="0"/>
              <w:spacing w:before="0" w:after="0"/>
              <w:jc w:val="center"/>
              <w:rPr>
                <w:b/>
              </w:rPr>
            </w:pPr>
            <w:r>
              <w:rPr>
                <w:b/>
              </w:rPr>
              <w:t>Credit</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121"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180" w:right="0" w:hanging="180"/>
              <w:jc w:val="left"/>
              <w:rPr/>
            </w:pPr>
            <w:r>
              <w:rPr/>
              <w:t>Fixed maturity securities:</w:t>
            </w:r>
          </w:p>
        </w:tc>
        <w:tc>
          <w:tcPr>
            <w:tcW w:w="9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360" w:right="0" w:hanging="180"/>
              <w:jc w:val="left"/>
              <w:rPr/>
            </w:pPr>
            <w:r>
              <w:rPr/>
              <w:t>Bonds:</w:t>
            </w:r>
          </w:p>
        </w:tc>
        <w:tc>
          <w:tcPr>
            <w:tcW w:w="9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U.S. Treasury securities and obligations of U.S. Government agencies and authorities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22,251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2,144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24,371</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Loan backed and structures securities</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pPr>
            <w:r>
              <w:rPr/>
              <w:t>22,290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2,457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24,730</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Obligations of states and political subdivisions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7,623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9,131</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Corporate securities:</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Utilities and telecom</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pPr>
            <w:r>
              <w:rPr/>
              <w:t>24,623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108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3,206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27,721</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Financial services</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pPr>
            <w:r>
              <w:rPr/>
              <w:t>59,564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563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4,768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63,769</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Other business – diversified</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pPr>
            <w:r>
              <w:rPr/>
              <w:t>34,117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160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3,919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37,876</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Other consumer – diversified</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pPr>
            <w:r>
              <w:rPr/>
              <w:t>41,957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6,585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48,509</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720" w:right="0" w:hanging="180"/>
              <w:jc w:val="left"/>
              <w:rPr/>
            </w:pPr>
            <w:r>
              <w:rPr/>
              <w:t>Total corporate securities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160,261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864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18,478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177,875</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360" w:right="0" w:hanging="180"/>
              <w:jc w:val="left"/>
              <w:rPr/>
            </w:pPr>
            <w:r>
              <w:rPr/>
              <w:t>Redeemable preferred stocks:</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Other consumer – diversified</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187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192</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720" w:right="0" w:hanging="180"/>
              <w:jc w:val="left"/>
              <w:rPr/>
            </w:pPr>
            <w:r>
              <w:rPr/>
              <w:t>Total redeemable preferred stocks</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pPr>
            <w:r>
              <w:rPr/>
              <w:t>187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192</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900" w:right="0" w:hanging="180"/>
              <w:jc w:val="left"/>
              <w:rPr/>
            </w:pPr>
            <w:r>
              <w:rPr/>
              <w:t>Total fixed maturity securities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1" w:type="dxa"/>
            <w:tcBorders>
              <w:bottom w:val="double" w:sz="8" w:space="0" w:color="000000"/>
            </w:tcBorders>
            <w:shd w:fill="CCEEFF" w:val="clear"/>
            <w:tcMar>
              <w:bottom w:w="28" w:type="dxa"/>
            </w:tcMar>
            <w:vAlign w:val="bottom"/>
          </w:tcPr>
          <w:p>
            <w:pPr>
              <w:pStyle w:val="TableContents"/>
              <w:bidi w:val="0"/>
              <w:spacing w:before="0" w:after="0"/>
              <w:jc w:val="right"/>
              <w:rPr/>
            </w:pPr>
            <w:r>
              <w:rPr/>
              <w:t>212,612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914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24,601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pPr>
            <w:r>
              <w:rPr/>
              <w:t>236,299</w:t>
            </w:r>
          </w:p>
        </w:tc>
        <w:tc>
          <w:tcPr>
            <w:tcW w:w="12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Bonds having an amortized cost of $15,376 and $15,065 and included in the tables above were on deposit with insurance regulatory authorities at December 31, 2025 and 2024, respectively, in accordance with statutory requirements. In addition, the Company maintains cash and cash equivalents on deposit with insurance regulatory authorities of $0 and $226 at December 31, 2025 and 2024, respectively. Additionally, bonds having an amortized cost of $8,861 and $9,209 and included in the tables above were pledged as collateral to FHLB at December 31, 2025 and 2024,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Equity securities were comprised of the following:</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150" w:name="z5615877b5a2644bf95fde7f8ef8ad36c"/>
      <w:bookmarkStart w:id="151" w:name="z5615877b5a2644bf95fde7f8ef8ad36c"/>
      <w:bookmarkEnd w:id="151"/>
    </w:p>
    <w:tbl>
      <w:tblPr>
        <w:tblW w:w="9539" w:type="dxa"/>
        <w:jc w:val="left"/>
        <w:tblInd w:w="0" w:type="dxa"/>
        <w:tblLayout w:type="fixed"/>
        <w:tblCellMar>
          <w:top w:w="0" w:type="dxa"/>
          <w:left w:w="0" w:type="dxa"/>
          <w:bottom w:w="0" w:type="dxa"/>
          <w:right w:w="0" w:type="dxa"/>
        </w:tblCellMar>
      </w:tblPr>
      <w:tblGrid>
        <w:gridCol w:w="4550"/>
        <w:gridCol w:w="90"/>
        <w:gridCol w:w="220"/>
        <w:gridCol w:w="924"/>
        <w:gridCol w:w="90"/>
        <w:gridCol w:w="90"/>
        <w:gridCol w:w="259"/>
        <w:gridCol w:w="901"/>
        <w:gridCol w:w="90"/>
        <w:gridCol w:w="90"/>
        <w:gridCol w:w="668"/>
        <w:gridCol w:w="492"/>
        <w:gridCol w:w="90"/>
        <w:gridCol w:w="90"/>
        <w:gridCol w:w="170"/>
        <w:gridCol w:w="590"/>
        <w:gridCol w:w="135"/>
      </w:tblGrid>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6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Cost</w:t>
            </w:r>
          </w:p>
        </w:tc>
        <w:tc>
          <w:tcPr>
            <w:tcW w:w="13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0"/>
              <w:jc w:val="left"/>
              <w:rPr/>
            </w:pPr>
            <w:r>
              <w:rPr/>
              <w:t>Common and non-redeemable preferred stocks: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360" w:right="0" w:hanging="0"/>
              <w:jc w:val="left"/>
              <w:rPr/>
            </w:pPr>
            <w:r>
              <w:rPr/>
              <w:t>Financial services</w:t>
            </w:r>
          </w:p>
        </w:tc>
        <w:tc>
          <w:tcPr>
            <w:tcW w:w="9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pPr>
            <w:r>
              <w:rPr/>
              <w:t>1,319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1,009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310</w:t>
            </w:r>
          </w:p>
        </w:tc>
        <w:tc>
          <w:tcPr>
            <w:tcW w:w="13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360" w:right="0" w:hanging="0"/>
              <w:jc w:val="left"/>
              <w:rPr/>
            </w:pPr>
            <w:r>
              <w:rPr/>
              <w:t>Communications</w:t>
            </w:r>
          </w:p>
        </w:tc>
        <w:tc>
          <w:tcPr>
            <w:tcW w:w="9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tcMar>
              <w:bottom w:w="28" w:type="dxa"/>
            </w:tcMar>
            <w:vAlign w:val="bottom"/>
          </w:tcPr>
          <w:p>
            <w:pPr>
              <w:pStyle w:val="TableContents"/>
              <w:bidi w:val="0"/>
              <w:spacing w:before="0" w:after="0"/>
              <w:jc w:val="right"/>
              <w:rPr/>
            </w:pPr>
            <w:r>
              <w:rPr/>
              <w:t>11,076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6,443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283"/>
              <w:jc w:val="left"/>
              <w:rPr/>
            </w:pPr>
            <w:r>
              <w:rPr/>
              <w:t> </w:t>
            </w:r>
          </w:p>
        </w:tc>
        <w:tc>
          <w:tcPr>
            <w:tcW w:w="492"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4,633</w:t>
            </w:r>
          </w:p>
        </w:tc>
        <w:tc>
          <w:tcPr>
            <w:tcW w:w="13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540" w:right="0" w:hanging="0"/>
              <w:jc w:val="left"/>
              <w:rPr/>
            </w:pPr>
            <w:r>
              <w:rPr/>
              <w:t>Total equity securities</w:t>
            </w:r>
          </w:p>
        </w:tc>
        <w:tc>
          <w:tcPr>
            <w:tcW w:w="90" w:type="dxa"/>
            <w:tcBorders/>
            <w:shd w:fill="CCEEFF" w:val="clear"/>
            <w:vAlign w:val="bottom"/>
          </w:tcPr>
          <w:p>
            <w:pPr>
              <w:pStyle w:val="TableContents"/>
              <w:bidi w:val="0"/>
              <w:spacing w:before="0" w:after="283"/>
              <w:jc w:val="lef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4" w:type="dxa"/>
            <w:tcBorders>
              <w:bottom w:val="double" w:sz="8" w:space="0" w:color="000000"/>
            </w:tcBorders>
            <w:shd w:fill="CCEEFF" w:val="clear"/>
            <w:tcMar>
              <w:bottom w:w="28" w:type="dxa"/>
            </w:tcM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7,452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92"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4,943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152" w:name="zb2d9932ecc3e40dbaef824adcc08fbf9"/>
      <w:bookmarkStart w:id="153" w:name="zb2d9932ecc3e40dbaef824adcc08fbf9"/>
      <w:bookmarkEnd w:id="153"/>
    </w:p>
    <w:tbl>
      <w:tblPr>
        <w:tblW w:w="9509" w:type="dxa"/>
        <w:jc w:val="left"/>
        <w:tblInd w:w="0" w:type="dxa"/>
        <w:tblLayout w:type="fixed"/>
        <w:tblCellMar>
          <w:top w:w="0" w:type="dxa"/>
          <w:left w:w="0" w:type="dxa"/>
          <w:bottom w:w="0" w:type="dxa"/>
          <w:right w:w="0" w:type="dxa"/>
        </w:tblCellMar>
      </w:tblPr>
      <w:tblGrid>
        <w:gridCol w:w="4535"/>
        <w:gridCol w:w="90"/>
        <w:gridCol w:w="255"/>
        <w:gridCol w:w="889"/>
        <w:gridCol w:w="90"/>
        <w:gridCol w:w="90"/>
        <w:gridCol w:w="259"/>
        <w:gridCol w:w="901"/>
        <w:gridCol w:w="90"/>
        <w:gridCol w:w="90"/>
        <w:gridCol w:w="668"/>
        <w:gridCol w:w="492"/>
        <w:gridCol w:w="90"/>
        <w:gridCol w:w="90"/>
        <w:gridCol w:w="170"/>
        <w:gridCol w:w="590"/>
        <w:gridCol w:w="120"/>
      </w:tblGrid>
      <w:tr>
        <w:trPr/>
        <w:tc>
          <w:tcPr>
            <w:tcW w:w="45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6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Cost</w:t>
            </w:r>
          </w:p>
        </w:tc>
        <w:tc>
          <w:tcPr>
            <w:tcW w:w="120"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ind w:left="180" w:right="0" w:hanging="0"/>
              <w:jc w:val="left"/>
              <w:rPr/>
            </w:pPr>
            <w:r>
              <w:rPr/>
              <w:t>Common and non-redeemable preferred stocks: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535" w:type="dxa"/>
            <w:tcBorders/>
            <w:shd w:fill="CCEEFF" w:val="clear"/>
            <w:vAlign w:val="bottom"/>
          </w:tcPr>
          <w:p>
            <w:pPr>
              <w:pStyle w:val="TableContents"/>
              <w:bidi w:val="0"/>
              <w:spacing w:before="0" w:after="0"/>
              <w:ind w:left="360" w:right="0" w:hanging="0"/>
              <w:jc w:val="left"/>
              <w:rPr/>
            </w:pPr>
            <w:r>
              <w:rPr/>
              <w:t>Financial services</w:t>
            </w:r>
          </w:p>
        </w:tc>
        <w:tc>
          <w:tcPr>
            <w:tcW w:w="90"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1,149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843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6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306</w:t>
            </w:r>
          </w:p>
        </w:tc>
        <w:tc>
          <w:tcPr>
            <w:tcW w:w="120"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ind w:left="360" w:right="0" w:hanging="0"/>
              <w:jc w:val="left"/>
              <w:rPr/>
            </w:pPr>
            <w:r>
              <w:rPr/>
              <w:t>Communications</w:t>
            </w:r>
          </w:p>
        </w:tc>
        <w:tc>
          <w:tcPr>
            <w:tcW w:w="90" w:type="dxa"/>
            <w:tcBorders/>
            <w:vAlign w:val="bottom"/>
          </w:tcPr>
          <w:p>
            <w:pPr>
              <w:pStyle w:val="TableContents"/>
              <w:bidi w:val="0"/>
              <w:spacing w:before="0" w:after="283"/>
              <w:jc w:val="right"/>
              <w:rPr/>
            </w:pPr>
            <w:r>
              <w:rPr/>
              <w:t> </w:t>
            </w:r>
          </w:p>
        </w:tc>
        <w:tc>
          <w:tcPr>
            <w:tcW w:w="2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6,751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2,118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68" w:type="dxa"/>
            <w:tcBorders>
              <w:bottom w:val="single" w:sz="12" w:space="0" w:color="000000"/>
            </w:tcBorders>
            <w:tcMar>
              <w:bottom w:w="28" w:type="dxa"/>
            </w:tcMar>
            <w:vAlign w:val="bottom"/>
          </w:tcPr>
          <w:p>
            <w:pPr>
              <w:pStyle w:val="TableContents"/>
              <w:bidi w:val="0"/>
              <w:spacing w:before="0" w:after="283"/>
              <w:jc w:val="left"/>
              <w:rPr/>
            </w:pPr>
            <w:r>
              <w:rPr/>
              <w:t> </w:t>
            </w:r>
          </w:p>
        </w:tc>
        <w:tc>
          <w:tcPr>
            <w:tcW w:w="492"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4,633</w:t>
            </w:r>
          </w:p>
        </w:tc>
        <w:tc>
          <w:tcPr>
            <w:tcW w:w="120" w:type="dxa"/>
            <w:tcBorders/>
            <w:vAlign w:val="bottom"/>
          </w:tcPr>
          <w:p>
            <w:pPr>
              <w:pStyle w:val="TableContents"/>
              <w:bidi w:val="0"/>
              <w:spacing w:before="0" w:after="283"/>
              <w:jc w:val="left"/>
              <w:rPr/>
            </w:pPr>
            <w:r>
              <w:rPr/>
              <w:t> </w:t>
            </w:r>
          </w:p>
        </w:tc>
      </w:tr>
      <w:tr>
        <w:trPr/>
        <w:tc>
          <w:tcPr>
            <w:tcW w:w="4535" w:type="dxa"/>
            <w:tcBorders/>
            <w:shd w:fill="CCEEFF" w:val="clear"/>
            <w:vAlign w:val="bottom"/>
          </w:tcPr>
          <w:p>
            <w:pPr>
              <w:pStyle w:val="TableContents"/>
              <w:bidi w:val="0"/>
              <w:spacing w:before="0" w:after="0"/>
              <w:ind w:left="540" w:right="0" w:hanging="0"/>
              <w:jc w:val="left"/>
              <w:rPr/>
            </w:pPr>
            <w:r>
              <w:rPr/>
              <w:t>Total equity securities</w:t>
            </w:r>
          </w:p>
        </w:tc>
        <w:tc>
          <w:tcPr>
            <w:tcW w:w="90" w:type="dxa"/>
            <w:tcBorders/>
            <w:shd w:fill="CCEEFF" w:val="clear"/>
            <w:vAlign w:val="bottom"/>
          </w:tcPr>
          <w:p>
            <w:pPr>
              <w:pStyle w:val="TableContents"/>
              <w:bidi w:val="0"/>
              <w:spacing w:before="0" w:after="283"/>
              <w:jc w:val="right"/>
              <w:rPr/>
            </w:pPr>
            <w:r>
              <w:rPr/>
              <w:t> </w:t>
            </w:r>
          </w:p>
        </w:tc>
        <w:tc>
          <w:tcPr>
            <w:tcW w:w="25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7,900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2,961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6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92"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4,939</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carrying value and amortized cost of the Company’s investments in fixed maturity securities at December 31, 2025 and 2024 by contractual maturity were as follows. Actual maturities may differ from contractual maturities because issuers may call or prepay obligations with or without call or prepayment penalties.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4" w:name="zeabdff7d7a5a44c4b1c7b5aa77eb10ca"/>
      <w:bookmarkStart w:id="155" w:name="zeabdff7d7a5a44c4b1c7b5aa77eb10ca"/>
      <w:bookmarkEnd w:id="155"/>
    </w:p>
    <w:tbl>
      <w:tblPr>
        <w:tblW w:w="10205" w:type="dxa"/>
        <w:jc w:val="left"/>
        <w:tblInd w:w="0" w:type="dxa"/>
        <w:tblLayout w:type="fixed"/>
        <w:tblCellMar>
          <w:top w:w="0" w:type="dxa"/>
          <w:left w:w="0" w:type="dxa"/>
          <w:bottom w:w="0" w:type="dxa"/>
          <w:right w:w="0" w:type="dxa"/>
        </w:tblCellMar>
      </w:tblPr>
      <w:tblGrid>
        <w:gridCol w:w="3197"/>
        <w:gridCol w:w="90"/>
        <w:gridCol w:w="264"/>
        <w:gridCol w:w="1290"/>
        <w:gridCol w:w="90"/>
        <w:gridCol w:w="90"/>
        <w:gridCol w:w="267"/>
        <w:gridCol w:w="1306"/>
        <w:gridCol w:w="90"/>
        <w:gridCol w:w="90"/>
        <w:gridCol w:w="264"/>
        <w:gridCol w:w="1290"/>
        <w:gridCol w:w="90"/>
        <w:gridCol w:w="90"/>
        <w:gridCol w:w="267"/>
        <w:gridCol w:w="1306"/>
        <w:gridCol w:w="124"/>
      </w:tblGrid>
      <w:tr>
        <w:trPr/>
        <w:tc>
          <w:tcPr>
            <w:tcW w:w="31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4" w:type="dxa"/>
            <w:tcBorders/>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73"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73"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 Cost</w:t>
            </w:r>
          </w:p>
        </w:tc>
        <w:tc>
          <w:tcPr>
            <w:tcW w:w="124" w:type="dxa"/>
            <w:tcBorders/>
            <w:vAlign w:val="bottom"/>
          </w:tcPr>
          <w:p>
            <w:pPr>
              <w:pStyle w:val="TableContents"/>
              <w:bidi w:val="0"/>
              <w:spacing w:before="0" w:after="283"/>
              <w:jc w:val="left"/>
              <w:rPr/>
            </w:pPr>
            <w:r>
              <w:rPr/>
              <w:t> </w:t>
            </w:r>
          </w:p>
        </w:tc>
      </w:tr>
      <w:tr>
        <w:trPr/>
        <w:tc>
          <w:tcPr>
            <w:tcW w:w="3197" w:type="dxa"/>
            <w:tcBorders/>
            <w:shd w:fill="CCEEFF" w:val="clear"/>
            <w:vAlign w:val="bottom"/>
          </w:tcPr>
          <w:p>
            <w:pPr>
              <w:pStyle w:val="TableContents"/>
              <w:bidi w:val="0"/>
              <w:spacing w:before="0" w:after="0"/>
              <w:jc w:val="left"/>
              <w:rPr/>
            </w:pPr>
            <w:r>
              <w:rPr/>
              <w:t>Due in one year or less</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0"/>
              <w:jc w:val="left"/>
              <w:rPr/>
            </w:pPr>
            <w:r>
              <w:rPr/>
              <w:t>$</w:t>
            </w:r>
          </w:p>
        </w:tc>
        <w:tc>
          <w:tcPr>
            <w:tcW w:w="1290" w:type="dxa"/>
            <w:tcBorders/>
            <w:shd w:fill="CCEEFF" w:val="clear"/>
            <w:vAlign w:val="bottom"/>
          </w:tcPr>
          <w:p>
            <w:pPr>
              <w:pStyle w:val="TableContents"/>
              <w:bidi w:val="0"/>
              <w:spacing w:before="0" w:after="0"/>
              <w:jc w:val="right"/>
              <w:rPr/>
            </w:pPr>
            <w:r>
              <w:rPr/>
              <w:t>10,389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0"/>
              <w:jc w:val="left"/>
              <w:rPr/>
            </w:pPr>
            <w:r>
              <w:rPr/>
              <w:t>$</w:t>
            </w:r>
          </w:p>
        </w:tc>
        <w:tc>
          <w:tcPr>
            <w:tcW w:w="1306" w:type="dxa"/>
            <w:tcBorders/>
            <w:shd w:fill="CCEEFF" w:val="clear"/>
            <w:vAlign w:val="bottom"/>
          </w:tcPr>
          <w:p>
            <w:pPr>
              <w:pStyle w:val="TableContents"/>
              <w:bidi w:val="0"/>
              <w:spacing w:before="0" w:after="0"/>
              <w:jc w:val="right"/>
              <w:rPr/>
            </w:pPr>
            <w:r>
              <w:rPr/>
              <w:t>10,469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0"/>
              <w:jc w:val="left"/>
              <w:rPr/>
            </w:pPr>
            <w:r>
              <w:rPr/>
              <w:t>$</w:t>
            </w:r>
          </w:p>
        </w:tc>
        <w:tc>
          <w:tcPr>
            <w:tcW w:w="1290" w:type="dxa"/>
            <w:tcBorders/>
            <w:shd w:fill="CCEEFF" w:val="clear"/>
            <w:vAlign w:val="bottom"/>
          </w:tcPr>
          <w:p>
            <w:pPr>
              <w:pStyle w:val="TableContents"/>
              <w:bidi w:val="0"/>
              <w:spacing w:before="0" w:after="0"/>
              <w:jc w:val="right"/>
              <w:rPr/>
            </w:pPr>
            <w:r>
              <w:rPr/>
              <w:t>7,484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0"/>
              <w:jc w:val="left"/>
              <w:rPr/>
            </w:pPr>
            <w:r>
              <w:rPr/>
              <w:t>$</w:t>
            </w:r>
          </w:p>
        </w:tc>
        <w:tc>
          <w:tcPr>
            <w:tcW w:w="1306" w:type="dxa"/>
            <w:tcBorders/>
            <w:shd w:fill="CCEEFF" w:val="clear"/>
            <w:vAlign w:val="bottom"/>
          </w:tcPr>
          <w:p>
            <w:pPr>
              <w:pStyle w:val="TableContents"/>
              <w:bidi w:val="0"/>
              <w:spacing w:before="0" w:after="0"/>
              <w:jc w:val="right"/>
              <w:rPr/>
            </w:pPr>
            <w:r>
              <w:rPr/>
              <w:t>7,497</w:t>
            </w:r>
          </w:p>
        </w:tc>
        <w:tc>
          <w:tcPr>
            <w:tcW w:w="124" w:type="dxa"/>
            <w:tcBorders/>
            <w:shd w:fill="CCEEFF" w:val="clear"/>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0"/>
              <w:jc w:val="left"/>
              <w:rPr/>
            </w:pPr>
            <w:r>
              <w:rPr/>
              <w:t>Due after one year through five years</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62,870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63,892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62,722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64,703</w:t>
            </w:r>
          </w:p>
        </w:tc>
        <w:tc>
          <w:tcPr>
            <w:tcW w:w="124" w:type="dxa"/>
            <w:tcBorders/>
            <w:vAlign w:val="bottom"/>
          </w:tcPr>
          <w:p>
            <w:pPr>
              <w:pStyle w:val="TableContents"/>
              <w:bidi w:val="0"/>
              <w:spacing w:before="0" w:after="283"/>
              <w:jc w:val="left"/>
              <w:rPr/>
            </w:pPr>
            <w:r>
              <w:rPr/>
              <w:t> </w:t>
            </w:r>
          </w:p>
        </w:tc>
      </w:tr>
      <w:tr>
        <w:trPr/>
        <w:tc>
          <w:tcPr>
            <w:tcW w:w="3197" w:type="dxa"/>
            <w:tcBorders/>
            <w:shd w:fill="CCEEFF" w:val="clear"/>
            <w:vAlign w:val="bottom"/>
          </w:tcPr>
          <w:p>
            <w:pPr>
              <w:pStyle w:val="TableContents"/>
              <w:bidi w:val="0"/>
              <w:spacing w:before="0" w:after="0"/>
              <w:jc w:val="left"/>
              <w:rPr/>
            </w:pPr>
            <w:r>
              <w:rPr/>
              <w:t>Due after five years through ten years</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0"/>
              <w:jc w:val="right"/>
              <w:rPr/>
            </w:pPr>
            <w:r>
              <w:rPr/>
              <w:t>33,769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34,264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0"/>
              <w:jc w:val="right"/>
              <w:rPr/>
            </w:pPr>
            <w:r>
              <w:rPr/>
              <w:t>32,820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35,552</w:t>
            </w:r>
          </w:p>
        </w:tc>
        <w:tc>
          <w:tcPr>
            <w:tcW w:w="124" w:type="dxa"/>
            <w:tcBorders/>
            <w:shd w:fill="CCEEFF" w:val="clear"/>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0"/>
              <w:jc w:val="left"/>
              <w:rPr/>
            </w:pPr>
            <w:r>
              <w:rPr/>
              <w:t>Due after ten years</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100,099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112,608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80,199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95,466</w:t>
            </w:r>
          </w:p>
        </w:tc>
        <w:tc>
          <w:tcPr>
            <w:tcW w:w="124" w:type="dxa"/>
            <w:tcBorders/>
            <w:vAlign w:val="bottom"/>
          </w:tcPr>
          <w:p>
            <w:pPr>
              <w:pStyle w:val="TableContents"/>
              <w:bidi w:val="0"/>
              <w:spacing w:before="0" w:after="283"/>
              <w:jc w:val="left"/>
              <w:rPr/>
            </w:pPr>
            <w:r>
              <w:rPr/>
              <w:t> </w:t>
            </w:r>
          </w:p>
        </w:tc>
      </w:tr>
      <w:tr>
        <w:trPr/>
        <w:tc>
          <w:tcPr>
            <w:tcW w:w="3197" w:type="dxa"/>
            <w:tcBorders/>
            <w:shd w:fill="CCEEFF" w:val="clear"/>
            <w:vAlign w:val="bottom"/>
          </w:tcPr>
          <w:p>
            <w:pPr>
              <w:pStyle w:val="TableContents"/>
              <w:bidi w:val="0"/>
              <w:spacing w:before="0" w:after="0"/>
              <w:jc w:val="left"/>
              <w:rPr/>
            </w:pPr>
            <w:r>
              <w:rPr/>
              <w:t>Asset backed securities</w:t>
            </w:r>
          </w:p>
        </w:tc>
        <w:tc>
          <w:tcPr>
            <w:tcW w:w="9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bottom"/>
          </w:tcPr>
          <w:p>
            <w:pPr>
              <w:pStyle w:val="TableContents"/>
              <w:bidi w:val="0"/>
              <w:spacing w:before="0" w:after="0"/>
              <w:jc w:val="right"/>
              <w:rPr/>
            </w:pPr>
            <w:r>
              <w:rPr/>
              <w:t>36,984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38,992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bottom"/>
          </w:tcPr>
          <w:p>
            <w:pPr>
              <w:pStyle w:val="TableContents"/>
              <w:bidi w:val="0"/>
              <w:spacing w:before="0" w:after="0"/>
              <w:jc w:val="right"/>
              <w:rPr/>
            </w:pPr>
            <w:r>
              <w:rPr/>
              <w:t>29,387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33,081</w:t>
            </w:r>
          </w:p>
        </w:tc>
        <w:tc>
          <w:tcPr>
            <w:tcW w:w="124" w:type="dxa"/>
            <w:tcBorders/>
            <w:shd w:fill="CCEEFF" w:val="clear"/>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0"/>
              <w:ind w:left="180" w:right="0" w:hanging="0"/>
              <w:jc w:val="left"/>
              <w:rPr/>
            </w:pPr>
            <w:r>
              <w:rPr/>
              <w:t>Totals</w:t>
            </w:r>
          </w:p>
        </w:tc>
        <w:tc>
          <w:tcPr>
            <w:tcW w:w="90" w:type="dxa"/>
            <w:tcBorders/>
            <w:vAlign w:val="bottom"/>
          </w:tcPr>
          <w:p>
            <w:pPr>
              <w:pStyle w:val="TableContents"/>
              <w:bidi w:val="0"/>
              <w:spacing w:before="0" w:after="283"/>
              <w:jc w:val="lef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pPr>
            <w:r>
              <w:rPr/>
              <w:t>$</w:t>
            </w:r>
          </w:p>
        </w:tc>
        <w:tc>
          <w:tcPr>
            <w:tcW w:w="1290" w:type="dxa"/>
            <w:tcBorders>
              <w:bottom w:val="double" w:sz="8" w:space="0" w:color="000000"/>
            </w:tcBorders>
            <w:tcMar>
              <w:bottom w:w="28" w:type="dxa"/>
            </w:tcMar>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bottom w:val="double" w:sz="8" w:space="0" w:color="000000"/>
            </w:tcBorders>
            <w:tcMar>
              <w:bottom w:w="28" w:type="dxa"/>
            </w:tcMar>
            <w:vAlign w:val="bottom"/>
          </w:tcPr>
          <w:p>
            <w:pPr>
              <w:pStyle w:val="TableContents"/>
              <w:bidi w:val="0"/>
              <w:spacing w:before="0" w:after="0"/>
              <w:jc w:val="left"/>
              <w:rPr/>
            </w:pPr>
            <w:r>
              <w:rPr/>
              <w:t>$</w:t>
            </w:r>
          </w:p>
        </w:tc>
        <w:tc>
          <w:tcPr>
            <w:tcW w:w="1306" w:type="dxa"/>
            <w:tcBorders>
              <w:bottom w:val="double" w:sz="8" w:space="0" w:color="000000"/>
            </w:tcBorders>
            <w:tcMar>
              <w:bottom w:w="28" w:type="dxa"/>
            </w:tcMar>
            <w:vAlign w:val="bottom"/>
          </w:tcPr>
          <w:p>
            <w:pPr>
              <w:pStyle w:val="TableContents"/>
              <w:bidi w:val="0"/>
              <w:spacing w:before="0" w:after="0"/>
              <w:jc w:val="right"/>
              <w:rPr/>
            </w:pPr>
            <w:r>
              <w:rPr/>
              <w:t>260,225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pPr>
            <w:r>
              <w:rPr/>
              <w:t>$</w:t>
            </w:r>
          </w:p>
        </w:tc>
        <w:tc>
          <w:tcPr>
            <w:tcW w:w="1290" w:type="dxa"/>
            <w:tcBorders>
              <w:bottom w:val="double" w:sz="8" w:space="0" w:color="000000"/>
            </w:tcBorders>
            <w:tcMar>
              <w:bottom w:w="28" w:type="dxa"/>
            </w:tcMar>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bottom w:val="double" w:sz="8" w:space="0" w:color="000000"/>
            </w:tcBorders>
            <w:tcMar>
              <w:bottom w:w="28" w:type="dxa"/>
            </w:tcMar>
            <w:vAlign w:val="bottom"/>
          </w:tcPr>
          <w:p>
            <w:pPr>
              <w:pStyle w:val="TableContents"/>
              <w:bidi w:val="0"/>
              <w:spacing w:before="0" w:after="0"/>
              <w:jc w:val="left"/>
              <w:rPr/>
            </w:pPr>
            <w:r>
              <w:rPr/>
              <w:t>$</w:t>
            </w:r>
          </w:p>
        </w:tc>
        <w:tc>
          <w:tcPr>
            <w:tcW w:w="1306" w:type="dxa"/>
            <w:tcBorders>
              <w:bottom w:val="double" w:sz="8" w:space="0" w:color="000000"/>
            </w:tcBorders>
            <w:tcMar>
              <w:bottom w:w="28" w:type="dxa"/>
            </w:tcMar>
            <w:vAlign w:val="bottom"/>
          </w:tcPr>
          <w:p>
            <w:pPr>
              <w:pStyle w:val="TableContents"/>
              <w:bidi w:val="0"/>
              <w:spacing w:before="0" w:after="0"/>
              <w:jc w:val="right"/>
              <w:rPr/>
            </w:pPr>
            <w:r>
              <w:rPr/>
              <w:t>236,299</w:t>
            </w:r>
          </w:p>
        </w:tc>
        <w:tc>
          <w:tcPr>
            <w:tcW w:w="12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tables present the Company’s unrealized loss aging for securities by type and length of time the security was in a continuous unrealized loss position as of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6" w:name="zb824ddb768494f8b8786bf283006e249"/>
      <w:bookmarkStart w:id="157" w:name="zb824ddb768494f8b8786bf283006e249"/>
      <w:bookmarkEnd w:id="157"/>
    </w:p>
    <w:tbl>
      <w:tblPr>
        <w:tblW w:w="10205" w:type="dxa"/>
        <w:jc w:val="left"/>
        <w:tblInd w:w="0" w:type="dxa"/>
        <w:tblLayout w:type="fixed"/>
        <w:tblCellMar>
          <w:top w:w="0" w:type="dxa"/>
          <w:left w:w="0" w:type="dxa"/>
          <w:bottom w:w="0" w:type="dxa"/>
          <w:right w:w="0" w:type="dxa"/>
        </w:tblCellMar>
      </w:tblPr>
      <w:tblGrid>
        <w:gridCol w:w="2045"/>
        <w:gridCol w:w="150"/>
        <w:gridCol w:w="174"/>
        <w:gridCol w:w="728"/>
        <w:gridCol w:w="153"/>
        <w:gridCol w:w="153"/>
        <w:gridCol w:w="340"/>
        <w:gridCol w:w="820"/>
        <w:gridCol w:w="150"/>
        <w:gridCol w:w="150"/>
        <w:gridCol w:w="170"/>
        <w:gridCol w:w="830"/>
        <w:gridCol w:w="150"/>
        <w:gridCol w:w="150"/>
        <w:gridCol w:w="224"/>
        <w:gridCol w:w="936"/>
        <w:gridCol w:w="150"/>
        <w:gridCol w:w="150"/>
        <w:gridCol w:w="170"/>
        <w:gridCol w:w="830"/>
        <w:gridCol w:w="150"/>
        <w:gridCol w:w="150"/>
        <w:gridCol w:w="224"/>
        <w:gridCol w:w="936"/>
        <w:gridCol w:w="122"/>
      </w:tblGrid>
      <w:tr>
        <w:trPr/>
        <w:tc>
          <w:tcPr>
            <w:tcW w:w="204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8"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2"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68" w:type="dxa"/>
            <w:gridSpan w:val="6"/>
            <w:tcBorders>
              <w:bottom w:val="single" w:sz="12" w:space="0" w:color="000000"/>
            </w:tcBorders>
            <w:tcMar>
              <w:bottom w:w="28" w:type="dxa"/>
            </w:tcMar>
            <w:vAlign w:val="bottom"/>
          </w:tcPr>
          <w:p>
            <w:pPr>
              <w:pStyle w:val="TableContents"/>
              <w:bidi w:val="0"/>
              <w:spacing w:before="0" w:after="0"/>
              <w:jc w:val="center"/>
              <w:rPr>
                <w:b/>
              </w:rPr>
            </w:pPr>
            <w:r>
              <w:rPr>
                <w:b/>
              </w:rPr>
              <w:t>Less than 12 months</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12 months or longer</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2" w:type="dxa"/>
            <w:tcBorders/>
            <w:vAlign w:val="bottom"/>
          </w:tcPr>
          <w:p>
            <w:pPr>
              <w:pStyle w:val="TableContents"/>
              <w:bidi w:val="0"/>
              <w:spacing w:before="0" w:after="283"/>
              <w:jc w:val="left"/>
              <w:rPr/>
            </w:pPr>
            <w:r>
              <w:rPr/>
              <w:t> </w:t>
            </w:r>
          </w:p>
        </w:tc>
      </w:tr>
      <w:tr>
        <w:trPr/>
        <w:tc>
          <w:tcPr>
            <w:tcW w:w="2045"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902"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153" w:type="dxa"/>
            <w:vMerge w:val="restart"/>
            <w:tcBorders/>
            <w:vAlign w:val="bottom"/>
          </w:tcPr>
          <w:p>
            <w:pPr>
              <w:pStyle w:val="TableContents"/>
              <w:bidi w:val="0"/>
              <w:spacing w:before="0" w:after="283"/>
              <w:jc w:val="left"/>
              <w:rPr/>
            </w:pPr>
            <w:r>
              <w:rPr/>
              <w:t>  </w:t>
            </w:r>
          </w:p>
        </w:tc>
        <w:tc>
          <w:tcPr>
            <w:tcW w:w="153"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22" w:type="dxa"/>
            <w:tcBorders/>
            <w:vAlign w:val="bottom"/>
          </w:tcPr>
          <w:p>
            <w:pPr>
              <w:pStyle w:val="TableContents"/>
              <w:bidi w:val="0"/>
              <w:spacing w:before="0" w:after="283"/>
              <w:jc w:val="left"/>
              <w:rPr/>
            </w:pPr>
            <w:r>
              <w:rPr/>
              <w:t> </w:t>
            </w:r>
          </w:p>
        </w:tc>
      </w:tr>
      <w:tr>
        <w:trPr/>
        <w:tc>
          <w:tcPr>
            <w:tcW w:w="2045"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902" w:type="dxa"/>
            <w:gridSpan w:val="2"/>
            <w:vMerge w:val="continue"/>
            <w:tcBorders>
              <w:bottom w:val="single" w:sz="12" w:space="0" w:color="000000"/>
            </w:tcBorders>
            <w:tcMar>
              <w:bottom w:w="28" w:type="dxa"/>
            </w:tcMar>
            <w:vAlign w:val="bottom"/>
          </w:tcPr>
          <w:p>
            <w:pPr>
              <w:pStyle w:val="Normal"/>
              <w:bidi w:val="0"/>
              <w:jc w:val="left"/>
              <w:rPr/>
            </w:pPr>
            <w:r>
              <w:rPr/>
            </w:r>
          </w:p>
        </w:tc>
        <w:tc>
          <w:tcPr>
            <w:tcW w:w="153" w:type="dxa"/>
            <w:vMerge w:val="continue"/>
            <w:tcBorders/>
            <w:vAlign w:val="bottom"/>
          </w:tcPr>
          <w:p>
            <w:pPr>
              <w:pStyle w:val="Normal"/>
              <w:bidi w:val="0"/>
              <w:jc w:val="left"/>
              <w:rPr/>
            </w:pPr>
            <w:r>
              <w:rPr/>
            </w:r>
          </w:p>
        </w:tc>
        <w:tc>
          <w:tcPr>
            <w:tcW w:w="153" w:type="dxa"/>
            <w:vMerge w:val="continue"/>
            <w:tcBorders>
              <w:bottom w:val="single" w:sz="12" w:space="0" w:color="000000"/>
            </w:tcBorders>
            <w:tcMar>
              <w:bottom w:w="28" w:type="dxa"/>
            </w:tcMar>
            <w:vAlign w:val="bottom"/>
          </w:tcPr>
          <w:p>
            <w:pPr>
              <w:pStyle w:val="Normal"/>
              <w:bidi w:val="0"/>
              <w:jc w:val="left"/>
              <w:rPr/>
            </w:pPr>
            <w:r>
              <w:rPr/>
            </w:r>
          </w:p>
        </w:tc>
        <w:tc>
          <w:tcPr>
            <w:tcW w:w="1160" w:type="dxa"/>
            <w:gridSpan w:val="2"/>
            <w:vMerge w:val="continue"/>
            <w:tcBorders/>
            <w:vAlign w:val="bottom"/>
          </w:tcPr>
          <w:p>
            <w:pPr>
              <w:pStyle w:val="Normal"/>
              <w:bidi w:val="0"/>
              <w:jc w:val="left"/>
              <w:rPr/>
            </w:pPr>
            <w:r>
              <w:rPr/>
            </w:r>
          </w:p>
        </w:tc>
        <w:tc>
          <w:tcPr>
            <w:tcW w:w="150" w:type="dxa"/>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000" w:type="dxa"/>
            <w:gridSpan w:val="2"/>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160" w:type="dxa"/>
            <w:gridSpan w:val="2"/>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bottom w:val="single" w:sz="12" w:space="0" w:color="000000"/>
            </w:tcBorders>
            <w:tcMar>
              <w:bottom w:w="28" w:type="dxa"/>
            </w:tcMar>
            <w:vAlign w:val="bottom"/>
          </w:tcPr>
          <w:p>
            <w:pPr>
              <w:pStyle w:val="Normal"/>
              <w:bidi w:val="0"/>
              <w:jc w:val="left"/>
              <w:rPr/>
            </w:pPr>
            <w:r>
              <w:rPr/>
            </w:r>
          </w:p>
        </w:tc>
        <w:tc>
          <w:tcPr>
            <w:tcW w:w="1000" w:type="dxa"/>
            <w:gridSpan w:val="2"/>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160" w:type="dxa"/>
            <w:gridSpan w:val="2"/>
            <w:vMerge w:val="continue"/>
            <w:tcBorders>
              <w:bottom w:val="single" w:sz="12" w:space="0" w:color="000000"/>
            </w:tcBorders>
            <w:tcMar>
              <w:bottom w:w="28" w:type="dxa"/>
            </w:tcMar>
            <w:vAlign w:val="bottom"/>
          </w:tcPr>
          <w:p>
            <w:pPr>
              <w:pStyle w:val="Normal"/>
              <w:bidi w:val="0"/>
              <w:jc w:val="left"/>
              <w:rPr/>
            </w:pPr>
            <w:r>
              <w:rPr/>
            </w:r>
          </w:p>
        </w:tc>
        <w:tc>
          <w:tcPr>
            <w:tcW w:w="122"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pPr>
            <w:r>
              <w:rPr/>
              <w:t>U.S. Treasury securities and obligations of U.S. Government agencies and authorities</w:t>
            </w:r>
          </w:p>
        </w:tc>
        <w:tc>
          <w:tcPr>
            <w:tcW w:w="15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728" w:type="dxa"/>
            <w:tcBorders/>
            <w:shd w:fill="CCEEFF" w:val="clear"/>
            <w:vAlign w:val="bottom"/>
          </w:tcPr>
          <w:p>
            <w:pPr>
              <w:pStyle w:val="TableContents"/>
              <w:bidi w:val="0"/>
              <w:spacing w:before="0" w:after="0"/>
              <w:jc w:val="right"/>
              <w:rPr/>
            </w:pPr>
            <w:r>
              <w:rPr/>
              <w:t>846</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13,934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1,522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14,780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1,525</w:t>
            </w:r>
          </w:p>
        </w:tc>
        <w:tc>
          <w:tcPr>
            <w:tcW w:w="122"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Loan backed and structured securities</w:t>
            </w:r>
          </w:p>
        </w:tc>
        <w:tc>
          <w:tcPr>
            <w:tcW w:w="15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pPr>
            <w:r>
              <w:rPr/>
              <w:t>1,793</w:t>
            </w:r>
          </w:p>
        </w:tc>
        <w:tc>
          <w:tcPr>
            <w:tcW w:w="15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14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13,755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1,308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15,548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1,322</w:t>
            </w:r>
          </w:p>
        </w:tc>
        <w:tc>
          <w:tcPr>
            <w:tcW w:w="122"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jc w:val="left"/>
              <w:rPr/>
            </w:pPr>
            <w:r>
              <w:rPr/>
              <w:t>Obligations of states and political subdivisions</w:t>
            </w:r>
          </w:p>
        </w:tc>
        <w:tc>
          <w:tcPr>
            <w:tcW w:w="15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pPr>
            <w:r>
              <w:rPr/>
              <w:t>1,087</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238</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4,823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1,207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5,910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1,445</w:t>
            </w:r>
          </w:p>
        </w:tc>
        <w:tc>
          <w:tcPr>
            <w:tcW w:w="122"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Corporate securities</w:t>
            </w:r>
          </w:p>
        </w:tc>
        <w:tc>
          <w:tcPr>
            <w:tcW w:w="15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28" w:type="dxa"/>
            <w:tcBorders>
              <w:bottom w:val="single" w:sz="12" w:space="0" w:color="000000"/>
            </w:tcBorders>
            <w:tcMar>
              <w:bottom w:w="28" w:type="dxa"/>
            </w:tcMar>
            <w:vAlign w:val="bottom"/>
          </w:tcPr>
          <w:p>
            <w:pPr>
              <w:pStyle w:val="TableContents"/>
              <w:bidi w:val="0"/>
              <w:spacing w:before="0" w:after="0"/>
              <w:jc w:val="right"/>
              <w:rPr/>
            </w:pPr>
            <w:r>
              <w:rPr/>
              <w:t>20,083</w:t>
            </w:r>
          </w:p>
        </w:tc>
        <w:tc>
          <w:tcPr>
            <w:tcW w:w="15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661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120,360</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13,049</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140,443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13,710</w:t>
            </w:r>
          </w:p>
        </w:tc>
        <w:tc>
          <w:tcPr>
            <w:tcW w:w="122"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0"/>
              <w:jc w:val="left"/>
              <w:rPr/>
            </w:pPr>
            <w:r>
              <w:rPr/>
              <w:t>Total temporarily impaired securities</w:t>
            </w:r>
          </w:p>
        </w:tc>
        <w:tc>
          <w:tcPr>
            <w:tcW w:w="150"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28" w:type="dxa"/>
            <w:tcBorders>
              <w:bottom w:val="double" w:sz="8" w:space="0" w:color="000000"/>
            </w:tcBorders>
            <w:shd w:fill="CCEEFF" w:val="clear"/>
            <w:tcMar>
              <w:bottom w:w="28" w:type="dxa"/>
            </w:tcMar>
            <w:vAlign w:val="bottom"/>
          </w:tcPr>
          <w:p>
            <w:pPr>
              <w:pStyle w:val="TableContents"/>
              <w:bidi w:val="0"/>
              <w:spacing w:before="0" w:after="0"/>
              <w:jc w:val="right"/>
              <w:rPr/>
            </w:pPr>
            <w:r>
              <w:rPr/>
              <w:t>23,809</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916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152,872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17,086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176,681</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18,002</w:t>
            </w:r>
          </w:p>
        </w:tc>
        <w:tc>
          <w:tcPr>
            <w:tcW w:w="12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43a51cea0fa04026b17fefc5de500982"/>
      <w:bookmarkStart w:id="159" w:name="z43a51cea0fa04026b17fefc5de500982"/>
      <w:bookmarkEnd w:id="159"/>
    </w:p>
    <w:tbl>
      <w:tblPr>
        <w:tblW w:w="10205" w:type="dxa"/>
        <w:jc w:val="left"/>
        <w:tblInd w:w="0" w:type="dxa"/>
        <w:tblLayout w:type="fixed"/>
        <w:tblCellMar>
          <w:top w:w="0" w:type="dxa"/>
          <w:left w:w="0" w:type="dxa"/>
          <w:bottom w:w="0" w:type="dxa"/>
          <w:right w:w="0" w:type="dxa"/>
        </w:tblCellMar>
      </w:tblPr>
      <w:tblGrid>
        <w:gridCol w:w="2658"/>
        <w:gridCol w:w="90"/>
        <w:gridCol w:w="181"/>
        <w:gridCol w:w="758"/>
        <w:gridCol w:w="96"/>
        <w:gridCol w:w="96"/>
        <w:gridCol w:w="340"/>
        <w:gridCol w:w="820"/>
        <w:gridCol w:w="90"/>
        <w:gridCol w:w="90"/>
        <w:gridCol w:w="170"/>
        <w:gridCol w:w="832"/>
        <w:gridCol w:w="90"/>
        <w:gridCol w:w="90"/>
        <w:gridCol w:w="224"/>
        <w:gridCol w:w="936"/>
        <w:gridCol w:w="90"/>
        <w:gridCol w:w="90"/>
        <w:gridCol w:w="170"/>
        <w:gridCol w:w="830"/>
        <w:gridCol w:w="90"/>
        <w:gridCol w:w="90"/>
        <w:gridCol w:w="224"/>
        <w:gridCol w:w="936"/>
        <w:gridCol w:w="124"/>
      </w:tblGrid>
      <w:tr>
        <w:trPr/>
        <w:tc>
          <w:tcPr>
            <w:tcW w:w="26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333"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4" w:type="dxa"/>
            <w:tcBorders/>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1" w:type="dxa"/>
            <w:gridSpan w:val="6"/>
            <w:tcBorders>
              <w:bottom w:val="single" w:sz="12" w:space="0" w:color="000000"/>
            </w:tcBorders>
            <w:tcMar>
              <w:bottom w:w="28" w:type="dxa"/>
            </w:tcMar>
            <w:vAlign w:val="bottom"/>
          </w:tcPr>
          <w:p>
            <w:pPr>
              <w:pStyle w:val="TableContents"/>
              <w:bidi w:val="0"/>
              <w:spacing w:before="0" w:after="0"/>
              <w:jc w:val="center"/>
              <w:rPr>
                <w:b/>
              </w:rPr>
            </w:pPr>
            <w:r>
              <w:rPr>
                <w:b/>
              </w:rPr>
              <w:t>Less than 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2" w:type="dxa"/>
            <w:gridSpan w:val="6"/>
            <w:tcBorders>
              <w:bottom w:val="single" w:sz="12" w:space="0" w:color="000000"/>
            </w:tcBorders>
            <w:tcMar>
              <w:bottom w:w="28" w:type="dxa"/>
            </w:tcMar>
            <w:vAlign w:val="bottom"/>
          </w:tcPr>
          <w:p>
            <w:pPr>
              <w:pStyle w:val="TableContents"/>
              <w:bidi w:val="0"/>
              <w:spacing w:before="0" w:after="0"/>
              <w:jc w:val="center"/>
              <w:rPr>
                <w:b/>
              </w:rPr>
            </w:pPr>
            <w:r>
              <w:rPr>
                <w:b/>
              </w:rPr>
              <w:t>12 months or longer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4" w:type="dxa"/>
            <w:tcBorders/>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24" w:type="dxa"/>
            <w:tcBorders/>
            <w:vAlign w:val="bottom"/>
          </w:tcPr>
          <w:p>
            <w:pPr>
              <w:pStyle w:val="TableContents"/>
              <w:bidi w:val="0"/>
              <w:spacing w:before="0" w:after="283"/>
              <w:jc w:val="left"/>
              <w:rPr/>
            </w:pPr>
            <w:r>
              <w:rPr/>
              <w:t> </w:t>
            </w:r>
          </w:p>
        </w:tc>
      </w:tr>
      <w:tr>
        <w:trPr/>
        <w:tc>
          <w:tcPr>
            <w:tcW w:w="2658" w:type="dxa"/>
            <w:tcBorders/>
            <w:shd w:fill="CCEEFF" w:val="clear"/>
            <w:vAlign w:val="bottom"/>
          </w:tcPr>
          <w:p>
            <w:pPr>
              <w:pStyle w:val="TableContents"/>
              <w:bidi w:val="0"/>
              <w:spacing w:before="0" w:after="0"/>
              <w:ind w:left="180" w:right="0" w:hanging="180"/>
              <w:jc w:val="left"/>
              <w:rPr/>
            </w:pPr>
            <w:r>
              <w:rPr/>
              <w:t>U.S. Treasury securities and obligations of U.S. Government agencies and authorities</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758" w:type="dxa"/>
            <w:tcBorders/>
            <w:shd w:fill="CCEEFF" w:val="clear"/>
            <w:vAlign w:val="bottom"/>
          </w:tcPr>
          <w:p>
            <w:pPr>
              <w:pStyle w:val="TableContents"/>
              <w:bidi w:val="0"/>
              <w:spacing w:before="0" w:after="0"/>
              <w:jc w:val="right"/>
              <w:rPr/>
            </w:pPr>
            <w:r>
              <w:rPr/>
              <w:t>3,753</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2" w:type="dxa"/>
            <w:tcBorders/>
            <w:shd w:fill="CCEEFF" w:val="clear"/>
            <w:vAlign w:val="bottom"/>
          </w:tcPr>
          <w:p>
            <w:pPr>
              <w:pStyle w:val="TableContents"/>
              <w:bidi w:val="0"/>
              <w:spacing w:before="0" w:after="0"/>
              <w:jc w:val="right"/>
              <w:rPr/>
            </w:pPr>
            <w:r>
              <w:rPr/>
              <w:t>16,136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2,111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19,889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2,144</w:t>
            </w:r>
          </w:p>
        </w:tc>
        <w:tc>
          <w:tcPr>
            <w:tcW w:w="124" w:type="dxa"/>
            <w:tcBorders/>
            <w:shd w:fill="CCEEFF" w:val="clear"/>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0"/>
              <w:ind w:left="180" w:right="0" w:hanging="180"/>
              <w:jc w:val="left"/>
              <w:rPr/>
            </w:pPr>
            <w:r>
              <w:rPr/>
              <w:t>Loan backed and structured securities</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0"/>
              <w:jc w:val="right"/>
              <w:rPr/>
            </w:pPr>
            <w:r>
              <w:rPr/>
              <w:t>1,010</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pPr>
            <w:r>
              <w:rPr/>
              <w:t>16,069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2,452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17,079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2,457</w:t>
            </w:r>
          </w:p>
        </w:tc>
        <w:tc>
          <w:tcPr>
            <w:tcW w:w="124" w:type="dxa"/>
            <w:tcBorders/>
            <w:vAlign w:val="bottom"/>
          </w:tcPr>
          <w:p>
            <w:pPr>
              <w:pStyle w:val="TableContents"/>
              <w:bidi w:val="0"/>
              <w:spacing w:before="0" w:after="283"/>
              <w:jc w:val="left"/>
              <w:rPr/>
            </w:pPr>
            <w:r>
              <w:rPr/>
              <w:t> </w:t>
            </w:r>
          </w:p>
        </w:tc>
      </w:tr>
      <w:tr>
        <w:trPr/>
        <w:tc>
          <w:tcPr>
            <w:tcW w:w="2658" w:type="dxa"/>
            <w:tcBorders/>
            <w:shd w:fill="CCEEFF" w:val="clear"/>
            <w:vAlign w:val="bottom"/>
          </w:tcPr>
          <w:p>
            <w:pPr>
              <w:pStyle w:val="TableContents"/>
              <w:bidi w:val="0"/>
              <w:spacing w:before="0" w:after="0"/>
              <w:ind w:left="180" w:right="0" w:hanging="180"/>
              <w:jc w:val="left"/>
              <w:rPr/>
            </w:pPr>
            <w:r>
              <w:rPr/>
              <w:t>Obligations of states and political subdivisions</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0"/>
              <w:jc w:val="right"/>
              <w:rPr/>
            </w:pPr>
            <w:r>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pPr>
            <w:r>
              <w:rPr/>
              <w:t>5,839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5,839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1,517</w:t>
            </w:r>
          </w:p>
        </w:tc>
        <w:tc>
          <w:tcPr>
            <w:tcW w:w="124" w:type="dxa"/>
            <w:tcBorders/>
            <w:shd w:fill="CCEEFF" w:val="clear"/>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0"/>
              <w:ind w:left="180" w:right="0" w:hanging="180"/>
              <w:jc w:val="left"/>
              <w:rPr/>
            </w:pPr>
            <w:r>
              <w:rPr/>
              <w:t>Corporate securities</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0"/>
              <w:jc w:val="right"/>
              <w:rPr/>
            </w:pPr>
            <w:r>
              <w:rPr/>
              <w:t>18,510</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755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pPr>
            <w:r>
              <w:rPr/>
              <w:t>125,930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17,723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144,440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18,478</w:t>
            </w:r>
          </w:p>
        </w:tc>
        <w:tc>
          <w:tcPr>
            <w:tcW w:w="124" w:type="dxa"/>
            <w:tcBorders/>
            <w:vAlign w:val="bottom"/>
          </w:tcPr>
          <w:p>
            <w:pPr>
              <w:pStyle w:val="TableContents"/>
              <w:bidi w:val="0"/>
              <w:spacing w:before="0" w:after="283"/>
              <w:jc w:val="left"/>
              <w:rPr/>
            </w:pPr>
            <w:r>
              <w:rPr/>
              <w:t> </w:t>
            </w:r>
          </w:p>
        </w:tc>
      </w:tr>
      <w:tr>
        <w:trPr/>
        <w:tc>
          <w:tcPr>
            <w:tcW w:w="2658" w:type="dxa"/>
            <w:tcBorders/>
            <w:shd w:fill="CCEEFF" w:val="clear"/>
            <w:vAlign w:val="bottom"/>
          </w:tcPr>
          <w:p>
            <w:pPr>
              <w:pStyle w:val="TableContents"/>
              <w:bidi w:val="0"/>
              <w:spacing w:before="0" w:after="0"/>
              <w:ind w:left="180" w:right="0" w:hanging="180"/>
              <w:jc w:val="left"/>
              <w:rPr/>
            </w:pPr>
            <w:r>
              <w:rPr/>
              <w:t>Redeemable preferred stocks</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bottom"/>
          </w:tcPr>
          <w:p>
            <w:pPr>
              <w:pStyle w:val="TableContents"/>
              <w:bidi w:val="0"/>
              <w:spacing w:before="0" w:after="0"/>
              <w:jc w:val="right"/>
              <w:rPr/>
            </w:pPr>
            <w:r>
              <w:rPr/>
              <w:t>188</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5</w:t>
            </w:r>
          </w:p>
        </w:tc>
        <w:tc>
          <w:tcPr>
            <w:tcW w:w="124" w:type="dxa"/>
            <w:tcBorders/>
            <w:shd w:fill="CCEEFF" w:val="clear"/>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0"/>
              <w:ind w:left="360" w:right="0" w:hanging="180"/>
              <w:jc w:val="left"/>
              <w:rPr/>
            </w:pPr>
            <w:r>
              <w:rPr/>
              <w:t>Total temporarily impaired securities</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758" w:type="dxa"/>
            <w:tcBorders>
              <w:bottom w:val="double" w:sz="8" w:space="0" w:color="000000"/>
            </w:tcBorders>
            <w:tcMar>
              <w:bottom w:w="28" w:type="dxa"/>
            </w:tcMar>
            <w:vAlign w:val="bottom"/>
          </w:tcPr>
          <w:p>
            <w:pPr>
              <w:pStyle w:val="TableContents"/>
              <w:bidi w:val="0"/>
              <w:spacing w:before="0" w:after="0"/>
              <w:jc w:val="right"/>
              <w:rPr/>
            </w:pPr>
            <w:r>
              <w:rPr/>
              <w:t>23,461</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pPr>
            <w:r>
              <w:rPr/>
              <w:t>$</w:t>
            </w:r>
          </w:p>
        </w:tc>
        <w:tc>
          <w:tcPr>
            <w:tcW w:w="820" w:type="dxa"/>
            <w:tcBorders>
              <w:bottom w:val="double" w:sz="8" w:space="0" w:color="000000"/>
            </w:tcBorders>
            <w:tcMar>
              <w:bottom w:w="28" w:type="dxa"/>
            </w:tcMar>
            <w:vAlign w:val="bottom"/>
          </w:tcPr>
          <w:p>
            <w:pPr>
              <w:pStyle w:val="TableContents"/>
              <w:bidi w:val="0"/>
              <w:spacing w:before="0" w:after="0"/>
              <w:jc w:val="right"/>
              <w:rPr/>
            </w:pPr>
            <w:r>
              <w:rPr/>
              <w:t>798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2" w:type="dxa"/>
            <w:tcBorders>
              <w:bottom w:val="double" w:sz="8" w:space="0" w:color="000000"/>
            </w:tcBorders>
            <w:tcMar>
              <w:bottom w:w="28" w:type="dxa"/>
            </w:tcMar>
            <w:vAlign w:val="bottom"/>
          </w:tcPr>
          <w:p>
            <w:pPr>
              <w:pStyle w:val="TableContents"/>
              <w:bidi w:val="0"/>
              <w:spacing w:before="0" w:after="0"/>
              <w:jc w:val="right"/>
              <w:rPr/>
            </w:pPr>
            <w:r>
              <w:rPr/>
              <w:t>163,974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pPr>
            <w:r>
              <w:rPr/>
              <w:t>$</w:t>
            </w:r>
          </w:p>
        </w:tc>
        <w:tc>
          <w:tcPr>
            <w:tcW w:w="936" w:type="dxa"/>
            <w:tcBorders>
              <w:bottom w:val="double" w:sz="8" w:space="0" w:color="000000"/>
            </w:tcBorders>
            <w:tcMar>
              <w:bottom w:w="28" w:type="dxa"/>
            </w:tcMar>
            <w:vAlign w:val="bottom"/>
          </w:tcPr>
          <w:p>
            <w:pPr>
              <w:pStyle w:val="TableContents"/>
              <w:bidi w:val="0"/>
              <w:spacing w:before="0" w:after="0"/>
              <w:jc w:val="right"/>
              <w:rPr/>
            </w:pPr>
            <w:r>
              <w:rPr/>
              <w:t>23,803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187,435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pPr>
            <w:r>
              <w:rPr/>
              <w:t>$</w:t>
            </w:r>
          </w:p>
        </w:tc>
        <w:tc>
          <w:tcPr>
            <w:tcW w:w="936" w:type="dxa"/>
            <w:tcBorders>
              <w:bottom w:val="double" w:sz="8" w:space="0" w:color="000000"/>
            </w:tcBorders>
            <w:tcMar>
              <w:bottom w:w="28" w:type="dxa"/>
            </w:tcMar>
            <w:vAlign w:val="bottom"/>
          </w:tcPr>
          <w:p>
            <w:pPr>
              <w:pStyle w:val="TableContents"/>
              <w:bidi w:val="0"/>
              <w:spacing w:before="0" w:after="0"/>
              <w:jc w:val="right"/>
              <w:rPr/>
            </w:pPr>
            <w:r>
              <w:rPr/>
              <w:t>24,601</w:t>
            </w:r>
          </w:p>
        </w:tc>
        <w:tc>
          <w:tcPr>
            <w:tcW w:w="12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Analysis of Securities in Unrealized Loss Positions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December 31, 2025 and 2024, there were 210 and 213 securities, respectively, in an unrealized loss position which primarily included certain of the Company’s investments in fixed maturity securities within the utilities and telecom, financial services, other diversified business and other diversified consumer sectors. With the exception of the other than temporary impairment loss noted below, the unrealized losses on the Company’s fixed maturity securities investments have been primarily related to general market changes in interest rates and/or the levels of credit spreads rather than specific concerns with the issuer’s ability to pay interest and repay principal.</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each reporting date, the Company evaluates available-for-sale fixed maturity securities whose fair values are below their amortized cost bases. The Company first determines whether it intends to sell a security or whether it is more likely than not that it will be required to sell the security before recovery of its amortized cost basis, which may be at maturity. An intent to sell exists when the Company has made a decision to sell a security. If either condition is met, any existing allowance for credit losses (“ACL”) is written off, the security’s amortized cost basis is written down to fair value and any incremental impairment loss is recognized in earnings within realized investment gains (losses).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If the Company does not intend to sell a security and it is not more likely than not that the Company will be required to sell the security before recovery, the Company evaluates whether any portion of the decline in fair value is attributable to credit-related factors. A credit loss exists when the present value of the cash flows expected to be collected is less than the security’s amortized cost basis. Credit-related losses are recognized in earnings through an ACL, limited to the amount by which the security’s amortized cost basis exceeds its fair value. Unrealized losses attributable to noncredit factors are recognized in other comprehensive income, net of applicable income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part of this evaluation, the Company reviews each security in an unrealized loss position to determine whether the decline in fair value is attributable to general market factors, including changes in interest rates and market credit spreads, or to issuer-specific credit factors. Securities with significant declines in fair value or other indicators of potential credit deterioration are subject to a more detailed credit review.</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corporate issuers, the Company evaluates their assets, business profile including industry dynamics and competitive positioning, financial statements and other available financial data. For non-corporate issuers, the Company analyzes all reasonably available sources of credit support, including issuer-specific factors. The Company utilizes information available in the public domain and, for certain private placement issuers, from consultations with the issuers directly. The Company also considers ratings from Nationally Recognized Statistical Rating Organizations, as well as the specific characteristics of the security it owns including seniority in the issuer’s capital structure, covenant protections, or other relevant features. From these reviews, the Company evaluates the issuers’ continued ability to service the Company’s investment through payment of interest and principal.</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year ended December 31, 2025, the Company recognized an impairment loss of approximately $488 related to an asset-backed security. Based on management’s evaluation of the underlying collateral performance, projected cash flows, and market conditions, the Company concluded that recovery of the security’s amortized cost basis was not expected. Accordingly, the Company recorded a full write-down of the investment to its estimated realizable value, resulting in a charge to realized investment losses of $488. The Company intends to sell the security.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other fixed maturity securities in an unrealized loss position, the Company similarly concluded that the unrealized losses were attributed to noncredit factors. Based on its credit analyses, the Company believes that the issuers have the ability to continue servicing their obligations. The Company does not intend to sell these securities, and it is not more likely than not that the Company will be required to sell them before recovery of their amortized cost bases. Accordingly, the related unrealized losses remain in AOCI. Assuming no credit-related deterioration occurs, these unrealized losses are generally expected to diminish as the securities approach maturity.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had no ACL on its available-for-sale fixed maturity securities as of December 31, 2025 and 2024.</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 income was earned from the following sources: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0" w:name="zba9938eb7e804285927ed8ce8dd04e3a"/>
      <w:bookmarkStart w:id="161" w:name="zba9938eb7e804285927ed8ce8dd04e3a"/>
      <w:bookmarkEnd w:id="161"/>
    </w:p>
    <w:tbl>
      <w:tblPr>
        <w:tblW w:w="4525" w:type="dxa"/>
        <w:jc w:val="left"/>
        <w:tblInd w:w="0" w:type="dxa"/>
        <w:tblLayout w:type="fixed"/>
        <w:tblCellMar>
          <w:top w:w="0" w:type="dxa"/>
          <w:left w:w="0" w:type="dxa"/>
          <w:bottom w:w="0" w:type="dxa"/>
          <w:right w:w="0" w:type="dxa"/>
        </w:tblCellMar>
      </w:tblPr>
      <w:tblGrid>
        <w:gridCol w:w="2375"/>
        <w:gridCol w:w="90"/>
        <w:gridCol w:w="170"/>
        <w:gridCol w:w="710"/>
        <w:gridCol w:w="90"/>
        <w:gridCol w:w="90"/>
        <w:gridCol w:w="170"/>
        <w:gridCol w:w="710"/>
        <w:gridCol w:w="120"/>
      </w:tblGrid>
      <w:tr>
        <w:trPr/>
        <w:tc>
          <w:tcPr>
            <w:tcW w:w="23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pPr>
            <w:r>
              <w:rPr/>
              <w:t>Fixed maturity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9,802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9,520</w:t>
            </w:r>
          </w:p>
        </w:tc>
        <w:tc>
          <w:tcPr>
            <w:tcW w:w="120"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335</w:t>
            </w:r>
          </w:p>
        </w:tc>
        <w:tc>
          <w:tcPr>
            <w:tcW w:w="120"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394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191</w:t>
            </w:r>
          </w:p>
        </w:tc>
        <w:tc>
          <w:tcPr>
            <w:tcW w:w="120"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10,531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10,046</w:t>
            </w:r>
          </w:p>
        </w:tc>
        <w:tc>
          <w:tcPr>
            <w:tcW w:w="120"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pPr>
            <w:r>
              <w:rPr/>
              <w:t>Investment expenses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265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255</w:t>
            </w:r>
          </w:p>
        </w:tc>
        <w:tc>
          <w:tcPr>
            <w:tcW w:w="120"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ind w:left="0" w:right="0" w:firstLine="150"/>
              <w:jc w:val="left"/>
              <w:rPr/>
            </w:pPr>
            <w:r>
              <w:rPr/>
              <w:t>Net investment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10,266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9,791</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Included in the net realized investment losses for the year ended December 31, 2025, was an impairment of a fixed maturity security totaling $488. The impairment resulted from a write-down of a security to its market value, which was recognized in earnings during the period. There were no impairments recognized for the year ended December 31, 2024.</w:t>
      </w:r>
    </w:p>
    <w:p>
      <w:pPr>
        <w:pStyle w:val="TextBody"/>
        <w:bidi w:val="0"/>
        <w:spacing w:before="0" w:after="0"/>
        <w:ind w:left="0" w:right="0" w:firstLine="72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summary of realized investment gains (losses)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2" w:name="z8cbf3cc2280d47cf923c8da3a10e2346"/>
      <w:bookmarkStart w:id="163" w:name="z8cbf3cc2280d47cf923c8da3a10e2346"/>
      <w:bookmarkEnd w:id="163"/>
    </w:p>
    <w:tbl>
      <w:tblPr>
        <w:tblW w:w="7464" w:type="dxa"/>
        <w:jc w:val="left"/>
        <w:tblInd w:w="0" w:type="dxa"/>
        <w:tblLayout w:type="fixed"/>
        <w:tblCellMar>
          <w:top w:w="0" w:type="dxa"/>
          <w:left w:w="0" w:type="dxa"/>
          <w:bottom w:w="0" w:type="dxa"/>
          <w:right w:w="0" w:type="dxa"/>
        </w:tblCellMar>
      </w:tblPr>
      <w:tblGrid>
        <w:gridCol w:w="2975"/>
        <w:gridCol w:w="90"/>
        <w:gridCol w:w="266"/>
        <w:gridCol w:w="759"/>
        <w:gridCol w:w="125"/>
        <w:gridCol w:w="90"/>
        <w:gridCol w:w="590"/>
        <w:gridCol w:w="435"/>
        <w:gridCol w:w="90"/>
        <w:gridCol w:w="90"/>
        <w:gridCol w:w="555"/>
        <w:gridCol w:w="409"/>
        <w:gridCol w:w="90"/>
        <w:gridCol w:w="90"/>
        <w:gridCol w:w="170"/>
        <w:gridCol w:w="485"/>
        <w:gridCol w:w="155"/>
      </w:tblGrid>
      <w:tr>
        <w:trPr/>
        <w:tc>
          <w:tcPr>
            <w:tcW w:w="29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4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Fixed</w:t>
            </w:r>
          </w:p>
          <w:p>
            <w:pPr>
              <w:pStyle w:val="TableContents"/>
              <w:bidi w:val="0"/>
              <w:spacing w:before="0" w:after="0"/>
              <w:jc w:val="center"/>
              <w:rPr>
                <w:b/>
              </w:rPr>
            </w:pPr>
            <w:r>
              <w:rPr>
                <w:b/>
              </w:rPr>
              <w:t>Maturity</w:t>
            </w:r>
          </w:p>
          <w:p>
            <w:pPr>
              <w:pStyle w:val="TableContents"/>
              <w:bidi w:val="0"/>
              <w:spacing w:before="0" w:after="0"/>
              <w:jc w:val="center"/>
              <w:rPr>
                <w:b/>
              </w:rPr>
            </w:pPr>
            <w:r>
              <w:rPr>
                <w:b/>
              </w:rPr>
              <w:t>Securities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Equity</w:t>
            </w:r>
          </w:p>
          <w:p>
            <w:pPr>
              <w:pStyle w:val="TableContents"/>
              <w:bidi w:val="0"/>
              <w:spacing w:before="0" w:after="0"/>
              <w:jc w:val="center"/>
              <w:rPr>
                <w:b/>
              </w:rPr>
            </w:pPr>
            <w:r>
              <w:rPr>
                <w:b/>
              </w:rPr>
              <w:t>Securities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 xml:space="preserve">Invested </w:t>
            </w:r>
          </w:p>
          <w:p>
            <w:pPr>
              <w:pStyle w:val="TableContents"/>
              <w:bidi w:val="0"/>
              <w:spacing w:before="0" w:after="0"/>
              <w:jc w:val="center"/>
              <w:rPr>
                <w:b/>
              </w:rPr>
            </w:pPr>
            <w:r>
              <w:rPr>
                <w:b/>
              </w:rPr>
              <w:t>Assets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pPr>
            <w:r>
              <w:rPr/>
              <w:t>Gains</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0"/>
              <w:jc w:val="left"/>
              <w:rPr/>
            </w:pPr>
            <w:r>
              <w:rPr/>
              <w:t>$</w:t>
            </w:r>
          </w:p>
        </w:tc>
        <w:tc>
          <w:tcPr>
            <w:tcW w:w="759" w:type="dxa"/>
            <w:tcBorders/>
            <w:shd w:fill="CCEEFF" w:val="clear"/>
            <w:vAlign w:val="bottom"/>
          </w:tcPr>
          <w:p>
            <w:pPr>
              <w:pStyle w:val="TableContents"/>
              <w:bidi w:val="0"/>
              <w:spacing w:before="0" w:after="0"/>
              <w:jc w:val="right"/>
              <w:rPr/>
            </w:pPr>
            <w:r>
              <w:rPr/>
              <w:t>196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w:t>
            </w:r>
          </w:p>
        </w:tc>
        <w:tc>
          <w:tcPr>
            <w:tcW w:w="43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0"/>
              <w:jc w:val="left"/>
              <w:rPr/>
            </w:pPr>
            <w:r>
              <w:rPr/>
              <w:t>$</w:t>
            </w:r>
          </w:p>
        </w:tc>
        <w:tc>
          <w:tcPr>
            <w:tcW w:w="40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196</w:t>
            </w:r>
          </w:p>
        </w:tc>
        <w:tc>
          <w:tcPr>
            <w:tcW w:w="155"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pPr>
            <w:r>
              <w:rPr/>
              <w:t>Losses</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0"/>
              <w:jc w:val="right"/>
              <w:rPr/>
            </w:pPr>
            <w:r>
              <w:rPr/>
              <w:t>(179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pPr>
            <w:r>
              <w:rPr/>
              <w:t>(179</w:t>
            </w:r>
          </w:p>
        </w:tc>
        <w:tc>
          <w:tcPr>
            <w:tcW w:w="155" w:type="dxa"/>
            <w:tcBorders/>
            <w:vAlign w:val="bottom"/>
          </w:tcPr>
          <w:p>
            <w:pPr>
              <w:pStyle w:val="TableContents"/>
              <w:bidi w:val="0"/>
              <w:spacing w:before="0" w:after="0"/>
              <w:jc w:val="left"/>
              <w:rPr/>
            </w:pPr>
            <w:r>
              <w:rPr/>
              <w:t>)</w:t>
            </w:r>
          </w:p>
        </w:tc>
      </w:tr>
      <w:tr>
        <w:trPr/>
        <w:tc>
          <w:tcPr>
            <w:tcW w:w="2975" w:type="dxa"/>
            <w:tcBorders/>
            <w:shd w:fill="CCEEFF" w:val="clear"/>
            <w:vAlign w:val="bottom"/>
          </w:tcPr>
          <w:p>
            <w:pPr>
              <w:pStyle w:val="TableContents"/>
              <w:bidi w:val="0"/>
              <w:spacing w:before="0" w:after="0"/>
              <w:jc w:val="left"/>
              <w:rPr/>
            </w:pPr>
            <w:r>
              <w:rPr/>
              <w:t>Impairment losses</w:t>
            </w:r>
          </w:p>
        </w:tc>
        <w:tc>
          <w:tcPr>
            <w:tcW w:w="90" w:type="dxa"/>
            <w:tcBorders/>
            <w:shd w:fill="CCEEFF" w:val="clear"/>
            <w:vAlign w:val="bottom"/>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bottom"/>
          </w:tcPr>
          <w:p>
            <w:pPr>
              <w:pStyle w:val="TableContents"/>
              <w:bidi w:val="0"/>
              <w:spacing w:before="0" w:after="0"/>
              <w:jc w:val="right"/>
              <w:rPr/>
            </w:pPr>
            <w:r>
              <w:rPr/>
              <w:t>(488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pPr>
            <w:r>
              <w:rPr/>
              <w:t>(488</w:t>
            </w:r>
          </w:p>
        </w:tc>
        <w:tc>
          <w:tcPr>
            <w:tcW w:w="155" w:type="dxa"/>
            <w:tcBorders/>
            <w:shd w:fill="CCEEFF" w:val="clear"/>
            <w:vAlign w:val="bottom"/>
          </w:tcPr>
          <w:p>
            <w:pPr>
              <w:pStyle w:val="TableContents"/>
              <w:bidi w:val="0"/>
              <w:spacing w:before="0" w:after="0"/>
              <w:jc w:val="left"/>
              <w:rPr/>
            </w:pPr>
            <w:r>
              <w:rPr/>
              <w:t>)</w:t>
            </w:r>
          </w:p>
        </w:tc>
      </w:tr>
      <w:tr>
        <w:trPr/>
        <w:tc>
          <w:tcPr>
            <w:tcW w:w="2975" w:type="dxa"/>
            <w:tcBorders/>
            <w:vAlign w:val="bottom"/>
          </w:tcPr>
          <w:p>
            <w:pPr>
              <w:pStyle w:val="TableContents"/>
              <w:bidi w:val="0"/>
              <w:spacing w:before="0" w:after="0"/>
              <w:jc w:val="left"/>
              <w:rPr/>
            </w:pPr>
            <w:r>
              <w:rPr/>
              <w:t>Realized investment losses, net</w:t>
            </w:r>
          </w:p>
        </w:tc>
        <w:tc>
          <w:tcPr>
            <w:tcW w:w="90" w:type="dxa"/>
            <w:tcBorders/>
            <w:vAlign w:val="bottom"/>
          </w:tcPr>
          <w:p>
            <w:pPr>
              <w:pStyle w:val="TableContents"/>
              <w:bidi w:val="0"/>
              <w:spacing w:before="0" w:after="283"/>
              <w:jc w:val="lef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pPr>
            <w:r>
              <w:rPr/>
              <w:t>$</w:t>
            </w:r>
          </w:p>
        </w:tc>
        <w:tc>
          <w:tcPr>
            <w:tcW w:w="759" w:type="dxa"/>
            <w:tcBorders>
              <w:bottom w:val="double" w:sz="8" w:space="0" w:color="000000"/>
            </w:tcBorders>
            <w:tcMar>
              <w:bottom w:w="28" w:type="dxa"/>
            </w:tcMar>
            <w:vAlign w:val="bottom"/>
          </w:tcPr>
          <w:p>
            <w:pPr>
              <w:pStyle w:val="TableContents"/>
              <w:bidi w:val="0"/>
              <w:spacing w:before="0" w:after="0"/>
              <w:jc w:val="right"/>
              <w:rPr/>
            </w:pPr>
            <w:r>
              <w:rPr/>
              <w:t>(471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590" w:type="dxa"/>
            <w:tcBorders>
              <w:bottom w:val="double" w:sz="8" w:space="0" w:color="000000"/>
            </w:tcBorders>
            <w:tcMar>
              <w:bottom w:w="28" w:type="dxa"/>
            </w:tcMar>
            <w:vAlign w:val="bottom"/>
          </w:tcPr>
          <w:p>
            <w:pPr>
              <w:pStyle w:val="TableContents"/>
              <w:bidi w:val="0"/>
              <w:spacing w:before="0" w:after="0"/>
              <w:jc w:val="left"/>
              <w:rPr/>
            </w:pPr>
            <w:r>
              <w:rPr/>
              <w:t>$</w:t>
            </w:r>
          </w:p>
        </w:tc>
        <w:tc>
          <w:tcPr>
            <w:tcW w:w="435"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5" w:type="dxa"/>
            <w:tcBorders>
              <w:bottom w:val="double" w:sz="8" w:space="0" w:color="000000"/>
            </w:tcBorders>
            <w:tcMar>
              <w:bottom w:w="28" w:type="dxa"/>
            </w:tcMar>
            <w:vAlign w:val="bottom"/>
          </w:tcPr>
          <w:p>
            <w:pPr>
              <w:pStyle w:val="TableContents"/>
              <w:bidi w:val="0"/>
              <w:spacing w:before="0" w:after="0"/>
              <w:jc w:val="left"/>
              <w:rPr/>
            </w:pPr>
            <w:r>
              <w:rPr/>
              <w:t>$</w:t>
            </w:r>
          </w:p>
        </w:tc>
        <w:tc>
          <w:tcPr>
            <w:tcW w:w="409"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485" w:type="dxa"/>
            <w:tcBorders>
              <w:bottom w:val="double" w:sz="8" w:space="0" w:color="000000"/>
            </w:tcBorders>
            <w:tcMar>
              <w:bottom w:w="28" w:type="dxa"/>
            </w:tcMar>
            <w:vAlign w:val="bottom"/>
          </w:tcPr>
          <w:p>
            <w:pPr>
              <w:pStyle w:val="TableContents"/>
              <w:bidi w:val="0"/>
              <w:spacing w:before="0" w:after="0"/>
              <w:jc w:val="right"/>
              <w:rPr/>
            </w:pPr>
            <w:r>
              <w:rPr/>
              <w:t>(471</w:t>
            </w:r>
          </w:p>
        </w:tc>
        <w:tc>
          <w:tcPr>
            <w:tcW w:w="15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4" w:name="z9a090d9b753042cebc906c7ff4015d1b"/>
      <w:bookmarkStart w:id="165" w:name="z9a090d9b753042cebc906c7ff4015d1b"/>
      <w:bookmarkEnd w:id="165"/>
    </w:p>
    <w:tbl>
      <w:tblPr>
        <w:tblW w:w="7509" w:type="dxa"/>
        <w:jc w:val="left"/>
        <w:tblInd w:w="0" w:type="dxa"/>
        <w:tblLayout w:type="fixed"/>
        <w:tblCellMar>
          <w:top w:w="0" w:type="dxa"/>
          <w:left w:w="0" w:type="dxa"/>
          <w:bottom w:w="0" w:type="dxa"/>
          <w:right w:w="0" w:type="dxa"/>
        </w:tblCellMar>
      </w:tblPr>
      <w:tblGrid>
        <w:gridCol w:w="2915"/>
        <w:gridCol w:w="90"/>
        <w:gridCol w:w="378"/>
        <w:gridCol w:w="647"/>
        <w:gridCol w:w="125"/>
        <w:gridCol w:w="90"/>
        <w:gridCol w:w="590"/>
        <w:gridCol w:w="435"/>
        <w:gridCol w:w="90"/>
        <w:gridCol w:w="90"/>
        <w:gridCol w:w="215"/>
        <w:gridCol w:w="749"/>
        <w:gridCol w:w="90"/>
        <w:gridCol w:w="90"/>
        <w:gridCol w:w="170"/>
        <w:gridCol w:w="590"/>
        <w:gridCol w:w="155"/>
      </w:tblGrid>
      <w:tr>
        <w:trPr/>
        <w:tc>
          <w:tcPr>
            <w:tcW w:w="29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49"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Fixed</w:t>
            </w:r>
          </w:p>
          <w:p>
            <w:pPr>
              <w:pStyle w:val="TableContents"/>
              <w:bidi w:val="0"/>
              <w:spacing w:before="0" w:after="0"/>
              <w:jc w:val="center"/>
              <w:rPr>
                <w:b/>
              </w:rPr>
            </w:pPr>
            <w:r>
              <w:rPr>
                <w:b/>
              </w:rPr>
              <w:t xml:space="preserve">Maturity </w:t>
            </w:r>
          </w:p>
          <w:p>
            <w:pPr>
              <w:pStyle w:val="TableContents"/>
              <w:bidi w:val="0"/>
              <w:spacing w:before="0" w:after="0"/>
              <w:jc w:val="center"/>
              <w:rPr>
                <w:b/>
              </w:rPr>
            </w:pPr>
            <w:r>
              <w:rPr>
                <w:b/>
              </w:rPr>
              <w:t>Securities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Equity</w:t>
            </w:r>
          </w:p>
          <w:p>
            <w:pPr>
              <w:pStyle w:val="TableContents"/>
              <w:bidi w:val="0"/>
              <w:spacing w:before="0" w:after="0"/>
              <w:jc w:val="center"/>
              <w:rPr>
                <w:b/>
              </w:rPr>
            </w:pPr>
            <w:r>
              <w:rPr>
                <w:b/>
              </w:rPr>
              <w:t>Securities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 xml:space="preserve">Invested </w:t>
            </w:r>
          </w:p>
          <w:p>
            <w:pPr>
              <w:pStyle w:val="TableContents"/>
              <w:bidi w:val="0"/>
              <w:spacing w:before="0" w:after="0"/>
              <w:jc w:val="center"/>
              <w:rPr>
                <w:b/>
              </w:rPr>
            </w:pPr>
            <w:r>
              <w:rPr>
                <w:b/>
              </w:rPr>
              <w:t>Assets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jc w:val="left"/>
              <w:rPr/>
            </w:pPr>
            <w:r>
              <w:rPr/>
              <w:t>Gains</w:t>
            </w:r>
          </w:p>
        </w:tc>
        <w:tc>
          <w:tcPr>
            <w:tcW w:w="9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0"/>
              <w:jc w:val="left"/>
              <w:rPr/>
            </w:pPr>
            <w:r>
              <w:rPr/>
              <w:t>$</w:t>
            </w:r>
          </w:p>
        </w:tc>
        <w:tc>
          <w:tcPr>
            <w:tcW w:w="647" w:type="dxa"/>
            <w:tcBorders/>
            <w:shd w:fill="CCEEFF" w:val="clear"/>
            <w:vAlign w:val="bottom"/>
          </w:tcPr>
          <w:p>
            <w:pPr>
              <w:pStyle w:val="TableContents"/>
              <w:bidi w:val="0"/>
              <w:spacing w:before="0" w:after="0"/>
              <w:jc w:val="right"/>
              <w:rPr/>
            </w:pPr>
            <w:r>
              <w:rPr/>
              <w:t>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w:t>
            </w:r>
          </w:p>
        </w:tc>
        <w:tc>
          <w:tcPr>
            <w:tcW w:w="43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pPr>
            <w:r>
              <w:rPr/>
              <w:t>$</w:t>
            </w:r>
          </w:p>
        </w:tc>
        <w:tc>
          <w:tcPr>
            <w:tcW w:w="749" w:type="dxa"/>
            <w:tcBorders/>
            <w:shd w:fill="CCEEFF" w:val="clear"/>
            <w:vAlign w:val="bottom"/>
          </w:tcPr>
          <w:p>
            <w:pPr>
              <w:pStyle w:val="TableContents"/>
              <w:bidi w:val="0"/>
              <w:spacing w:before="0" w:after="0"/>
              <w:jc w:val="right"/>
              <w:rPr/>
            </w:pPr>
            <w:r>
              <w:rPr/>
              <w:t>1,193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1,212</w:t>
            </w:r>
          </w:p>
        </w:tc>
        <w:tc>
          <w:tcPr>
            <w:tcW w:w="15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jc w:val="left"/>
              <w:rPr/>
            </w:pPr>
            <w:r>
              <w:rPr/>
              <w:t>Losses</w:t>
            </w:r>
          </w:p>
        </w:tc>
        <w:tc>
          <w:tcPr>
            <w:tcW w:w="90" w:type="dxa"/>
            <w:tcBorders/>
            <w:vAlign w:val="bottom"/>
          </w:tcPr>
          <w:p>
            <w:pPr>
              <w:pStyle w:val="TableContents"/>
              <w:bidi w:val="0"/>
              <w:spacing w:before="0" w:after="283"/>
              <w:jc w:val="left"/>
              <w:rPr/>
            </w:pPr>
            <w:r>
              <w:rPr/>
              <w:t> </w:t>
            </w:r>
          </w:p>
        </w:tc>
        <w:tc>
          <w:tcPr>
            <w:tcW w:w="3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0"/>
              <w:jc w:val="right"/>
              <w:rPr/>
            </w:pPr>
            <w:r>
              <w:rPr/>
              <w:t>(2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5"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4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(2</w:t>
            </w:r>
          </w:p>
        </w:tc>
        <w:tc>
          <w:tcPr>
            <w:tcW w:w="155" w:type="dxa"/>
            <w:tcBorders/>
            <w:vAlign w:val="bottom"/>
          </w:tcPr>
          <w:p>
            <w:pPr>
              <w:pStyle w:val="TableContents"/>
              <w:bidi w:val="0"/>
              <w:spacing w:before="0" w:after="0"/>
              <w:jc w:val="left"/>
              <w:rPr/>
            </w:pPr>
            <w:r>
              <w:rPr/>
              <w:t>)</w:t>
            </w:r>
          </w:p>
        </w:tc>
      </w:tr>
      <w:tr>
        <w:trPr/>
        <w:tc>
          <w:tcPr>
            <w:tcW w:w="2915" w:type="dxa"/>
            <w:tcBorders/>
            <w:shd w:fill="CCEEFF" w:val="clear"/>
            <w:vAlign w:val="bottom"/>
          </w:tcPr>
          <w:p>
            <w:pPr>
              <w:pStyle w:val="TableContents"/>
              <w:bidi w:val="0"/>
              <w:spacing w:before="0" w:after="0"/>
              <w:jc w:val="left"/>
              <w:rPr/>
            </w:pPr>
            <w:r>
              <w:rPr/>
              <w:t>Realized investment gains, net</w:t>
            </w:r>
          </w:p>
        </w:tc>
        <w:tc>
          <w:tcPr>
            <w:tcW w:w="90" w:type="dxa"/>
            <w:tcBorders/>
            <w:shd w:fill="CCEEFF" w:val="clear"/>
            <w:vAlign w:val="bottom"/>
          </w:tcPr>
          <w:p>
            <w:pPr>
              <w:pStyle w:val="TableContents"/>
              <w:bidi w:val="0"/>
              <w:spacing w:before="0" w:after="283"/>
              <w:jc w:val="left"/>
              <w:rPr/>
            </w:pPr>
            <w:r>
              <w:rPr/>
              <w:t> </w:t>
            </w:r>
          </w:p>
        </w:tc>
        <w:tc>
          <w:tcPr>
            <w:tcW w:w="37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47" w:type="dxa"/>
            <w:tcBorders>
              <w:bottom w:val="double" w:sz="8" w:space="0" w:color="000000"/>
            </w:tcBorders>
            <w:shd w:fill="CCEEFF" w:val="clear"/>
            <w:tcMar>
              <w:bottom w:w="28" w:type="dxa"/>
            </w:tcMar>
            <w:vAlign w:val="bottom"/>
          </w:tcPr>
          <w:p>
            <w:pPr>
              <w:pStyle w:val="TableContents"/>
              <w:bidi w:val="0"/>
              <w:spacing w:before="0" w:after="0"/>
              <w:jc w:val="right"/>
              <w:rPr/>
            </w:pPr>
            <w:r>
              <w:rPr/>
              <w:t>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35"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49" w:type="dxa"/>
            <w:tcBorders>
              <w:bottom w:val="double" w:sz="8" w:space="0" w:color="000000"/>
            </w:tcBorders>
            <w:shd w:fill="CCEEFF" w:val="clear"/>
            <w:tcMar>
              <w:bottom w:w="28" w:type="dxa"/>
            </w:tcMar>
            <w:vAlign w:val="bottom"/>
          </w:tcPr>
          <w:p>
            <w:pPr>
              <w:pStyle w:val="TableContents"/>
              <w:bidi w:val="0"/>
              <w:spacing w:before="0" w:after="0"/>
              <w:jc w:val="right"/>
              <w:rPr/>
            </w:pPr>
            <w:r>
              <w:rPr/>
              <w:t>1,193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1,210</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Proceeds from the sales of available-for-sale fixed maturity securities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6" w:name="z8ba4ef14f8ee487aab31fb87b84238e4"/>
      <w:bookmarkStart w:id="167" w:name="z8ba4ef14f8ee487aab31fb87b84238e4"/>
      <w:bookmarkEnd w:id="167"/>
    </w:p>
    <w:tbl>
      <w:tblPr>
        <w:tblW w:w="3245" w:type="dxa"/>
        <w:jc w:val="left"/>
        <w:tblInd w:w="0" w:type="dxa"/>
        <w:tblLayout w:type="fixed"/>
        <w:tblCellMar>
          <w:top w:w="0" w:type="dxa"/>
          <w:left w:w="0" w:type="dxa"/>
          <w:bottom w:w="0" w:type="dxa"/>
          <w:right w:w="0" w:type="dxa"/>
        </w:tblCellMar>
      </w:tblPr>
      <w:tblGrid>
        <w:gridCol w:w="1445"/>
        <w:gridCol w:w="90"/>
        <w:gridCol w:w="170"/>
        <w:gridCol w:w="710"/>
        <w:gridCol w:w="90"/>
        <w:gridCol w:w="90"/>
        <w:gridCol w:w="305"/>
        <w:gridCol w:w="225"/>
        <w:gridCol w:w="120"/>
      </w:tblGrid>
      <w:tr>
        <w:trPr/>
        <w:tc>
          <w:tcPr>
            <w:tcW w:w="14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Sales proceeds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13,447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left"/>
              <w:rPr/>
            </w:pPr>
            <w:r>
              <w:rPr/>
              <w:t>$</w:t>
            </w:r>
          </w:p>
        </w:tc>
        <w:tc>
          <w:tcPr>
            <w:tcW w:w="22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jc w:val="left"/>
              <w:rPr/>
            </w:pPr>
            <w:r>
              <w:rPr/>
              <w:t>Gross gains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Gross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There were no proceeds from the sales of equity securities during 2025 and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Proceeds from the sales of other invested assets were as follows: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68" w:name="z99ecffcb65694bd8846e77a2676c2b18"/>
      <w:bookmarkStart w:id="169" w:name="z99ecffcb65694bd8846e77a2676c2b18"/>
      <w:bookmarkEnd w:id="169"/>
    </w:p>
    <w:tbl>
      <w:tblPr>
        <w:tblW w:w="3125" w:type="dxa"/>
        <w:jc w:val="left"/>
        <w:tblInd w:w="0" w:type="dxa"/>
        <w:tblLayout w:type="fixed"/>
        <w:tblCellMar>
          <w:top w:w="0" w:type="dxa"/>
          <w:left w:w="0" w:type="dxa"/>
          <w:bottom w:w="0" w:type="dxa"/>
          <w:right w:w="0" w:type="dxa"/>
        </w:tblCellMar>
      </w:tblPr>
      <w:tblGrid>
        <w:gridCol w:w="1445"/>
        <w:gridCol w:w="90"/>
        <w:gridCol w:w="305"/>
        <w:gridCol w:w="225"/>
        <w:gridCol w:w="90"/>
        <w:gridCol w:w="90"/>
        <w:gridCol w:w="170"/>
        <w:gridCol w:w="590"/>
        <w:gridCol w:w="120"/>
      </w:tblGrid>
      <w:tr>
        <w:trPr/>
        <w:tc>
          <w:tcPr>
            <w:tcW w:w="14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Sales proceeds</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left"/>
              <w:rPr/>
            </w:pPr>
            <w:r>
              <w:rPr/>
              <w:t>$</w:t>
            </w:r>
          </w:p>
        </w:tc>
        <w:tc>
          <w:tcPr>
            <w:tcW w:w="2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2,510</w:t>
            </w:r>
          </w:p>
        </w:tc>
        <w:tc>
          <w:tcPr>
            <w:tcW w:w="120" w:type="dxa"/>
            <w:tcBorders/>
            <w:shd w:fill="CCEEFF" w:val="clear"/>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jc w:val="left"/>
              <w:rPr/>
            </w:pPr>
            <w:r>
              <w:rPr/>
              <w:t>Gross gains</w:t>
            </w:r>
          </w:p>
        </w:tc>
        <w:tc>
          <w:tcPr>
            <w:tcW w:w="9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1,193</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Gross losses</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0" w:right="0" w:firstLine="720"/>
        <w:jc w:val="both"/>
        <w:rPr/>
      </w:pPr>
      <w:r>
        <w:rPr/>
        <w:t> </w:t>
      </w:r>
      <w:r>
        <w:rPr>
          <w:rFonts w:ascii="Times New Roman" w:hAnsi="Times New Roman"/>
          <w:sz w:val="20"/>
        </w:rPr>
        <w:t>Sales of available-for-sale securities in 2025 were primarily a result of improving the overall risk versus return profile of the portfolio. In addition, the Company sold its interest in a certain limited liability company held as other invested assets to a third-party in 2024.</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the portion of unrealized gains (losses) related to equity securities still held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0" w:name="z0b0bf4a9057540f685b8e37b1d524995"/>
      <w:bookmarkStart w:id="171" w:name="z0b0bf4a9057540f685b8e37b1d524995"/>
      <w:bookmarkEnd w:id="171"/>
    </w:p>
    <w:tbl>
      <w:tblPr>
        <w:tblW w:w="10205" w:type="dxa"/>
        <w:jc w:val="left"/>
        <w:tblInd w:w="0" w:type="dxa"/>
        <w:tblLayout w:type="fixed"/>
        <w:tblCellMar>
          <w:top w:w="0" w:type="dxa"/>
          <w:left w:w="0" w:type="dxa"/>
          <w:bottom w:w="0" w:type="dxa"/>
          <w:right w:w="0" w:type="dxa"/>
        </w:tblCellMar>
      </w:tblPr>
      <w:tblGrid>
        <w:gridCol w:w="8185"/>
        <w:gridCol w:w="90"/>
        <w:gridCol w:w="170"/>
        <w:gridCol w:w="590"/>
        <w:gridCol w:w="90"/>
        <w:gridCol w:w="90"/>
        <w:gridCol w:w="170"/>
        <w:gridCol w:w="665"/>
        <w:gridCol w:w="155"/>
      </w:tblGrid>
      <w:tr>
        <w:trPr/>
        <w:tc>
          <w:tcPr>
            <w:tcW w:w="8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8185" w:type="dxa"/>
            <w:tcBorders/>
            <w:shd w:fill="CCEEFF" w:val="clear"/>
            <w:vAlign w:val="bottom"/>
          </w:tcPr>
          <w:p>
            <w:pPr>
              <w:pStyle w:val="TableContents"/>
              <w:bidi w:val="0"/>
              <w:spacing w:before="0" w:after="0"/>
              <w:jc w:val="left"/>
              <w:rPr/>
            </w:pPr>
            <w:r>
              <w:rPr/>
              <w:t>Net realized and unrealized gains (losses) recognized during the period on 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4,491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(1,516</w:t>
            </w:r>
          </w:p>
        </w:tc>
        <w:tc>
          <w:tcPr>
            <w:tcW w:w="155" w:type="dxa"/>
            <w:tcBorders/>
            <w:shd w:fill="CCEEFF" w:val="clear"/>
            <w:vAlign w:val="bottom"/>
          </w:tcPr>
          <w:p>
            <w:pPr>
              <w:pStyle w:val="TableContents"/>
              <w:bidi w:val="0"/>
              <w:spacing w:before="0" w:after="0"/>
              <w:jc w:val="left"/>
              <w:rPr/>
            </w:pPr>
            <w:r>
              <w:rPr/>
              <w:t>)</w:t>
            </w:r>
          </w:p>
        </w:tc>
      </w:tr>
      <w:tr>
        <w:trPr/>
        <w:tc>
          <w:tcPr>
            <w:tcW w:w="8185" w:type="dxa"/>
            <w:tcBorders/>
            <w:vAlign w:val="bottom"/>
          </w:tcPr>
          <w:p>
            <w:pPr>
              <w:pStyle w:val="TableContents"/>
              <w:bidi w:val="0"/>
              <w:spacing w:before="0" w:after="0"/>
              <w:jc w:val="left"/>
              <w:rPr/>
            </w:pPr>
            <w:r>
              <w:rPr/>
              <w:t>Less: Net realized gains recognized during the period on equity securities sold during the period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pPr>
            <w:r>
              <w:rPr/>
              <w:t>-</w:t>
            </w:r>
          </w:p>
        </w:tc>
        <w:tc>
          <w:tcPr>
            <w:tcW w:w="155" w:type="dxa"/>
            <w:tcBorders/>
            <w:vAlign w:val="bottom"/>
          </w:tcPr>
          <w:p>
            <w:pPr>
              <w:pStyle w:val="TableContents"/>
              <w:bidi w:val="0"/>
              <w:spacing w:before="0" w:after="283"/>
              <w:jc w:val="left"/>
              <w:rPr/>
            </w:pPr>
            <w:r>
              <w:rPr/>
              <w:t> </w:t>
            </w:r>
          </w:p>
        </w:tc>
      </w:tr>
      <w:tr>
        <w:trPr/>
        <w:tc>
          <w:tcPr>
            <w:tcW w:w="8185" w:type="dxa"/>
            <w:tcBorders/>
            <w:shd w:fill="CCEEFF" w:val="clear"/>
            <w:vAlign w:val="bottom"/>
          </w:tcPr>
          <w:p>
            <w:pPr>
              <w:pStyle w:val="TableContents"/>
              <w:bidi w:val="0"/>
              <w:spacing w:before="0" w:after="0"/>
              <w:jc w:val="left"/>
              <w:rPr/>
            </w:pPr>
            <w:r>
              <w:rPr/>
              <w:t>Unrealized gains (losses) on equity securities, 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4,491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65" w:type="dxa"/>
            <w:tcBorders>
              <w:bottom w:val="double" w:sz="8" w:space="0" w:color="000000"/>
            </w:tcBorders>
            <w:shd w:fill="CCEEFF" w:val="clear"/>
            <w:tcMar>
              <w:bottom w:w="28" w:type="dxa"/>
            </w:tcMar>
            <w:vAlign w:val="bottom"/>
          </w:tcPr>
          <w:p>
            <w:pPr>
              <w:pStyle w:val="TableContents"/>
              <w:bidi w:val="0"/>
              <w:spacing w:before="0" w:after="0"/>
              <w:jc w:val="right"/>
              <w:rPr/>
            </w:pPr>
            <w:r>
              <w:rPr/>
              <w:t>(1,516</w:t>
            </w:r>
          </w:p>
        </w:tc>
        <w:tc>
          <w:tcPr>
            <w:tcW w:w="15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bond portfolio included 99% investment grade securities, as defined by the National Association of Insurance Commissioners (“NAIC”), at December 31, 2025 and 2024.</w:t>
      </w:r>
    </w:p>
    <w:p>
      <w:pPr>
        <w:pStyle w:val="TextBody"/>
        <w:bidi w:val="0"/>
        <w:spacing w:before="0" w:after="0"/>
        <w:jc w:val="both"/>
        <w:rPr/>
      </w:pPr>
      <w:r>
        <w:rPr/>
      </w:r>
    </w:p>
    <w:p>
      <w:pPr>
        <w:pStyle w:val="TextBody"/>
        <w:bidi w:val="0"/>
        <w:spacing w:before="0" w:after="0"/>
        <w:jc w:val="both"/>
        <w:rPr>
          <w:rFonts w:ascii="Times New Roman" w:hAnsi="Times New Roman"/>
          <w:b/>
          <w:i/>
          <w:sz w:val="20"/>
        </w:rPr>
      </w:pPr>
      <w:r>
        <w:rPr>
          <w:rFonts w:ascii="Times New Roman" w:hAnsi="Times New Roman"/>
          <w:b/>
          <w:i/>
          <w:sz w:val="20"/>
        </w:rPr>
        <w:t>Variable Interest Entities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holds passive interests in a number of entities that are considered to be variable interest entities (“VIEs”) under GAAP guidance. The Company’s VIE interests principally consist of interests in limited partnerships and limited liability companies formed for the purpose of achieving diversified equity returns. The Company’s VIE interests, carried as a part of other invested assets, totaled $6,037 and $6,616 at December 31, 2025 and 2024, respectively. The Company’s VIE interests, carried as a part of investment in unconsolidated trusts, totaled $1,238 at December 31, 2025 and 2024.</w:t>
      </w:r>
    </w:p>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does not have power over the activities that most significantly impact the economic performance of these VIEs and thus is not the primary beneficiary. Therefore, the Company has not consolidated these VIEs. The Company’s involvement with each VIE is limited to its direct ownership interest in the VIE. The Company has no arrangements with any of the VIEs to provide other financial support to or on behalf of the VIE other than future funding commitments. The Company’s maximum loss exposure relative to these investments was limited to the carrying value of the Company’s investment in the VIEs, which amount to $7,275 and $7,854, at December 31, 2025 and 2024, respectively. As of December 31, 2025 and 2024, the Company had outstanding commitments totaling $2,200 and $2,200, respectively, whereby the Company is committed to fund these investments and may be called by the partnership during the commitment period to fund the purchase of new investments and partnership expenses.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3. Disclosures About Fair Value of Financial Instruments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Although management is not aware of any factors that would significantly affect the estimated fair value amounts,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2" w:name="z00ede44ed77349989c436ea3d174466d"/>
      <w:bookmarkStart w:id="173" w:name="z00ede44ed77349989c436ea3d174466d"/>
      <w:bookmarkEnd w:id="173"/>
    </w:p>
    <w:tbl>
      <w:tblPr>
        <w:tblW w:w="10205" w:type="dxa"/>
        <w:jc w:val="left"/>
        <w:tblInd w:w="0" w:type="dxa"/>
        <w:tblLayout w:type="fixed"/>
        <w:tblCellMar>
          <w:top w:w="0" w:type="dxa"/>
          <w:left w:w="0" w:type="dxa"/>
          <w:bottom w:w="0" w:type="dxa"/>
          <w:right w:w="0" w:type="dxa"/>
        </w:tblCellMar>
      </w:tblPr>
      <w:tblGrid>
        <w:gridCol w:w="105"/>
        <w:gridCol w:w="645"/>
        <w:gridCol w:w="9455"/>
      </w:tblGrid>
      <w:tr>
        <w:trPr/>
        <w:tc>
          <w:tcPr>
            <w:tcW w:w="10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Level 1</w:t>
            </w:r>
          </w:p>
        </w:tc>
        <w:tc>
          <w:tcPr>
            <w:tcW w:w="9455" w:type="dxa"/>
            <w:tcBorders/>
            <w:vAlign w:val="center"/>
          </w:tcPr>
          <w:p>
            <w:pPr>
              <w:pStyle w:val="TableContents"/>
              <w:bidi w:val="0"/>
              <w:spacing w:before="0" w:after="0"/>
              <w:jc w:val="both"/>
              <w:rPr/>
            </w:pPr>
            <w:r>
              <w:rPr/>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4" w:name="z2bd2703d1e704d00a025d96fb5d9c94a"/>
      <w:bookmarkStart w:id="175" w:name="z2bd2703d1e704d00a025d96fb5d9c94a"/>
      <w:bookmarkEnd w:id="175"/>
    </w:p>
    <w:tbl>
      <w:tblPr>
        <w:tblW w:w="10205" w:type="dxa"/>
        <w:jc w:val="left"/>
        <w:tblInd w:w="0" w:type="dxa"/>
        <w:tblLayout w:type="fixed"/>
        <w:tblCellMar>
          <w:top w:w="0" w:type="dxa"/>
          <w:left w:w="0" w:type="dxa"/>
          <w:bottom w:w="0" w:type="dxa"/>
          <w:right w:w="0" w:type="dxa"/>
        </w:tblCellMar>
      </w:tblPr>
      <w:tblGrid>
        <w:gridCol w:w="105"/>
        <w:gridCol w:w="604"/>
        <w:gridCol w:w="9496"/>
      </w:tblGrid>
      <w:tr>
        <w:trPr/>
        <w:tc>
          <w:tcPr>
            <w:tcW w:w="10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Level 2</w:t>
            </w:r>
          </w:p>
        </w:tc>
        <w:tc>
          <w:tcPr>
            <w:tcW w:w="9496" w:type="dxa"/>
            <w:tcBorders/>
            <w:vAlign w:val="center"/>
          </w:tcPr>
          <w:p>
            <w:pPr>
              <w:pStyle w:val="TableContents"/>
              <w:bidi w:val="0"/>
              <w:spacing w:before="0" w:after="0"/>
              <w:jc w:val="both"/>
              <w:rPr/>
            </w:pPr>
            <w:r>
              <w:rPr/>
              <w:t>Observable inputs, other than quoted prices included in Level 1, for an asset or liability or prices for similar assets or liabilities. The Company’s financial instruments valued using Level 2 criteria include significantly most of its fixed maturity securities, which consist of U.S. Treasury securities, U.S. Government securities, obligations of states and political subdivisions, and certain corporate fixed maturity securities, as well as its non-redeemable preferred stocks. In determining fair value measurements of its fixed maturity securities and non-redeemable preferred stocks using Level 2 criteria, the Company utilizes data from outside sources, including nationally recognized pricing services and broker/dealers. Prices for the majority of the Company’s Level 2 fixed maturity securities and non-redeemable preferred stocks were determined using unadjusted prices received from pricing services that utilize models where the significant inputs are observable (e.g., interest rates, yield curves, prepayment speeds, default rates, loss severities) or can be corroborated by observable market data.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6" w:name="z5ad5b383e05e495f842d7015f8056705"/>
      <w:bookmarkStart w:id="177" w:name="z5ad5b383e05e495f842d7015f8056705"/>
      <w:bookmarkEnd w:id="177"/>
    </w:p>
    <w:tbl>
      <w:tblPr>
        <w:tblW w:w="10205" w:type="dxa"/>
        <w:jc w:val="left"/>
        <w:tblInd w:w="0" w:type="dxa"/>
        <w:tblLayout w:type="fixed"/>
        <w:tblCellMar>
          <w:top w:w="0" w:type="dxa"/>
          <w:left w:w="0" w:type="dxa"/>
          <w:bottom w:w="0" w:type="dxa"/>
          <w:right w:w="0" w:type="dxa"/>
        </w:tblCellMar>
      </w:tblPr>
      <w:tblGrid>
        <w:gridCol w:w="105"/>
        <w:gridCol w:w="605"/>
        <w:gridCol w:w="9495"/>
      </w:tblGrid>
      <w:tr>
        <w:trPr/>
        <w:tc>
          <w:tcPr>
            <w:tcW w:w="10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Level 3</w:t>
            </w:r>
          </w:p>
        </w:tc>
        <w:tc>
          <w:tcPr>
            <w:tcW w:w="9495" w:type="dxa"/>
            <w:tcBorders/>
            <w:vAlign w:val="center"/>
          </w:tcPr>
          <w:p>
            <w:pPr>
              <w:pStyle w:val="TableContents"/>
              <w:bidi w:val="0"/>
              <w:spacing w:before="0" w:after="0"/>
              <w:jc w:val="both"/>
              <w:rPr/>
            </w:pPr>
            <w:r>
              <w:rPr/>
              <w:t>Valuations that are derived from techniques in which one or more of the significant inputs are unobservable (including assumptions about risk). Fair value is based on criteria that use assumptions or other data that are not readily observable from objective sources. With little or no observable market, the determination of fair values uses considerable judgment and represents the Company’s best estimate of an amount that could be realized in a market exchange for the asset or liability. The Company’s financial instruments valued using Level 3 criteria consist of one equity security. As of December 31, 2025 and December 31, 2024, the value of the equity security valued using Level 3 criteria was $193 and $189, respectively.   The equity security is not traded and is valued at cost. The use of different criteria or assumptions regarding data may have yielded materially different valuations. Other policy liabilities consisting of annuities of $4,783 and $4,938 were also included in level 3 valuations.</w:t>
            </w:r>
          </w:p>
        </w:tc>
      </w:tr>
    </w:tbl>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Recurring Fair Value Measurements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Cash Equivalents</w:t>
      </w:r>
      <w:r>
        <w:rPr>
          <w:rFonts w:ascii="Times New Roman" w:hAnsi="Times New Roman"/>
          <w:b/>
          <w:sz w:val="20"/>
        </w:rPr>
        <w:t xml:space="preserve">. </w:t>
      </w:r>
      <w:r>
        <w:rPr>
          <w:rFonts w:ascii="Times New Roman" w:hAnsi="Times New Roman"/>
          <w:sz w:val="20"/>
        </w:rPr>
        <w:t>The carrying amount approximates fair value due to the short-term nature of the instruments.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Fixed Maturity Securities and Common and Non-Redeemable Preferred Stocks</w:t>
      </w:r>
      <w:r>
        <w:rPr>
          <w:rFonts w:ascii="Times New Roman" w:hAnsi="Times New Roman"/>
          <w:b/>
          <w:sz w:val="20"/>
        </w:rPr>
        <w:t xml:space="preserve">. </w:t>
      </w:r>
      <w:r>
        <w:rPr>
          <w:rFonts w:ascii="Times New Roman" w:hAnsi="Times New Roman"/>
          <w:sz w:val="20"/>
        </w:rPr>
        <w:t>The carrying amount is determined from publicly quoted market prices. Certain fixed maturity securities do not have publicly quoted values and consist solely of issuances of pooled debt obligations of multiple, smaller financial services companies. They are not actively traded and valuation techniques used to measure fair value are based on future estimated cash flows discounted at reasonable estimated rates of interest. Other qualitative and quantitative information is also considered, as applicable.</w:t>
      </w:r>
    </w:p>
    <w:p>
      <w:pPr>
        <w:pStyle w:val="TextBody"/>
        <w:bidi w:val="0"/>
        <w:spacing w:before="0" w:after="0"/>
        <w:jc w:val="both"/>
        <w:rPr/>
      </w:pPr>
      <w:r>
        <w:rPr/>
      </w:r>
    </w:p>
    <w:p>
      <w:pPr>
        <w:pStyle w:val="TextBody"/>
        <w:bidi w:val="0"/>
        <w:spacing w:before="0" w:after="0"/>
        <w:jc w:val="both"/>
        <w:rPr>
          <w:rFonts w:ascii="Times New Roman" w:hAnsi="Times New Roman"/>
          <w:b/>
          <w:i/>
          <w:sz w:val="20"/>
        </w:rPr>
      </w:pPr>
      <w:r>
        <w:rPr>
          <w:rFonts w:ascii="Times New Roman" w:hAnsi="Times New Roman"/>
          <w:b/>
          <w:i/>
          <w:sz w:val="20"/>
        </w:rPr>
        <w:t>Nonrecurring Fair Value Measurements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Non-publicly Traded Invested Assets</w:t>
      </w:r>
      <w:r>
        <w:rPr>
          <w:rFonts w:ascii="Times New Roman" w:hAnsi="Times New Roman"/>
          <w:b/>
          <w:sz w:val="20"/>
        </w:rPr>
        <w:t xml:space="preserve">. </w:t>
      </w:r>
      <w:r>
        <w:rPr>
          <w:rFonts w:ascii="Times New Roman" w:hAnsi="Times New Roman"/>
          <w:sz w:val="20"/>
        </w:rPr>
        <w:t>The fair value of investments in certain limited partnerships which are included in other invested assets on the consolidated balance sheet were determined by officers of those limited partnerships.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i/>
          <w:spacing w:val="0"/>
          <w:sz w:val="20"/>
        </w:rPr>
        <w:t>Policy Loans</w:t>
      </w:r>
      <w:r>
        <w:rPr>
          <w:rFonts w:ascii="Times New Roman" w:hAnsi="Times New Roman"/>
          <w:b/>
          <w:spacing w:val="0"/>
          <w:sz w:val="20"/>
        </w:rPr>
        <w:t xml:space="preserve">. </w:t>
      </w:r>
      <w:r>
        <w:rPr>
          <w:rFonts w:ascii="Times New Roman" w:hAnsi="Times New Roman"/>
          <w:spacing w:val="0"/>
          <w:sz w:val="20"/>
        </w:rPr>
        <w:t>Policy loans, which are categorized as Level 3 fair value measurements, are carried at the unpaid principal balances.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b/>
          <w:i/>
          <w:spacing w:val="0"/>
          <w:sz w:val="20"/>
        </w:rPr>
        <w:t xml:space="preserve">Annuities. </w:t>
      </w:r>
      <w:r>
        <w:rPr>
          <w:rFonts w:ascii="Times New Roman" w:hAnsi="Times New Roman"/>
          <w:spacing w:val="0"/>
          <w:sz w:val="20"/>
        </w:rPr>
        <w:t>Annuities, which are categorized as Level 3 fair value measurements, are carried at the present value of future annuity payments.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b/>
          <w:i/>
          <w:sz w:val="20"/>
        </w:rPr>
        <w:t>Junior Subordinated Debentures</w:t>
      </w:r>
      <w:r>
        <w:rPr>
          <w:rFonts w:ascii="Times New Roman" w:hAnsi="Times New Roman"/>
          <w:b/>
          <w:sz w:val="20"/>
        </w:rPr>
        <w:t xml:space="preserve">. </w:t>
      </w:r>
      <w:r>
        <w:rPr>
          <w:rFonts w:ascii="Times New Roman" w:hAnsi="Times New Roman"/>
          <w:sz w:val="20"/>
        </w:rPr>
        <w:t>The fair value is estimated based on observable interest rates and yields for debt instruments having similar characteristics.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December 31, 2025, financial instruments carried at fair value were measured on a recurring basis as summarized below:</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78" w:name="zc7f6696fb4f14936b8e4706b7cdc6bcb"/>
      <w:bookmarkStart w:id="179" w:name="zc7f6696fb4f14936b8e4706b7cdc6bcb"/>
      <w:bookmarkEnd w:id="179"/>
    </w:p>
    <w:tbl>
      <w:tblPr>
        <w:tblW w:w="9418" w:type="dxa"/>
        <w:jc w:val="left"/>
        <w:tblInd w:w="0" w:type="dxa"/>
        <w:tblLayout w:type="fixed"/>
        <w:tblCellMar>
          <w:top w:w="0" w:type="dxa"/>
          <w:left w:w="0" w:type="dxa"/>
          <w:bottom w:w="0" w:type="dxa"/>
          <w:right w:w="0" w:type="dxa"/>
        </w:tblCellMar>
      </w:tblPr>
      <w:tblGrid>
        <w:gridCol w:w="2360"/>
        <w:gridCol w:w="90"/>
        <w:gridCol w:w="382"/>
        <w:gridCol w:w="1602"/>
        <w:gridCol w:w="90"/>
        <w:gridCol w:w="90"/>
        <w:gridCol w:w="315"/>
        <w:gridCol w:w="1549"/>
        <w:gridCol w:w="90"/>
        <w:gridCol w:w="90"/>
        <w:gridCol w:w="427"/>
        <w:gridCol w:w="1033"/>
        <w:gridCol w:w="90"/>
        <w:gridCol w:w="90"/>
        <w:gridCol w:w="170"/>
        <w:gridCol w:w="830"/>
        <w:gridCol w:w="120"/>
      </w:tblGrid>
      <w:tr>
        <w:trPr/>
        <w:tc>
          <w:tcPr>
            <w:tcW w:w="2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Quoted Prices in</w:t>
            </w:r>
          </w:p>
          <w:p>
            <w:pPr>
              <w:pStyle w:val="TableContents"/>
              <w:bidi w:val="0"/>
              <w:spacing w:before="0" w:after="0"/>
              <w:jc w:val="center"/>
              <w:rPr>
                <w:b/>
              </w:rPr>
            </w:pPr>
            <w:r>
              <w:rPr>
                <w:b/>
              </w:rPr>
              <w:t>Active Markets</w:t>
            </w:r>
          </w:p>
          <w:p>
            <w:pPr>
              <w:pStyle w:val="TableContents"/>
              <w:bidi w:val="0"/>
              <w:spacing w:before="0" w:after="0"/>
              <w:jc w:val="center"/>
              <w:rPr>
                <w:b/>
              </w:rPr>
            </w:pPr>
            <w:r>
              <w:rPr>
                <w:b/>
              </w:rPr>
              <w:t>for Identical Assets</w:t>
            </w:r>
          </w:p>
          <w:p>
            <w:pPr>
              <w:pStyle w:val="TableContents"/>
              <w:bidi w:val="0"/>
              <w:spacing w:before="0" w:after="0"/>
              <w:jc w:val="center"/>
              <w:rPr>
                <w:b/>
              </w:rPr>
            </w:pPr>
            <w:r>
              <w:rPr>
                <w:b/>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Other 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Unobservable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0" w:type="dxa"/>
            <w:tcBorders/>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b/>
                <w:u w:val="single"/>
              </w:rPr>
            </w:pPr>
            <w:r>
              <w:rPr>
                <w:b/>
                <w:u w:val="single"/>
              </w:rPr>
              <w:t>Assets:</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Fixed maturity securities</w:t>
            </w:r>
          </w:p>
        </w:tc>
        <w:tc>
          <w:tcPr>
            <w:tcW w:w="9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0"/>
              <w:jc w:val="left"/>
              <w:rPr/>
            </w:pPr>
            <w:r>
              <w:rPr/>
              <w:t>$</w:t>
            </w:r>
          </w:p>
        </w:tc>
        <w:tc>
          <w:tcPr>
            <w:tcW w:w="160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0"/>
              <w:jc w:val="left"/>
              <w:rPr/>
            </w:pPr>
            <w:r>
              <w:rPr/>
              <w:t>$</w:t>
            </w:r>
          </w:p>
        </w:tc>
        <w:tc>
          <w:tcPr>
            <w:tcW w:w="1549" w:type="dxa"/>
            <w:tcBorders/>
            <w:shd w:fill="CCEEFF" w:val="clear"/>
            <w:vAlign w:val="bottom"/>
          </w:tcPr>
          <w:p>
            <w:pPr>
              <w:pStyle w:val="TableContents"/>
              <w:bidi w:val="0"/>
              <w:spacing w:before="0" w:after="0"/>
              <w:jc w:val="right"/>
              <w:rPr/>
            </w:pPr>
            <w:r>
              <w:rPr/>
              <w:t>244,111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0"/>
              <w:jc w:val="left"/>
              <w:rPr/>
            </w:pPr>
            <w:r>
              <w:rPr/>
              <w:t>$</w:t>
            </w:r>
          </w:p>
        </w:tc>
        <w:tc>
          <w:tcPr>
            <w:tcW w:w="103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244,111</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0"/>
              <w:jc w:val="right"/>
              <w:rPr/>
            </w:pPr>
            <w:r>
              <w:rPr/>
              <w:t>12,202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pPr>
            <w:r>
              <w:rPr/>
              <w:t>193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12,395</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Cash equivalents</w:t>
            </w:r>
          </w:p>
        </w:tc>
        <w:tc>
          <w:tcPr>
            <w:tcW w:w="90" w:type="dxa"/>
            <w:tcBorders/>
            <w:shd w:fill="CCEEFF" w:val="clear"/>
            <w:vAlign w:val="bottom"/>
          </w:tcPr>
          <w:p>
            <w:pPr>
              <w:pStyle w:val="TableContents"/>
              <w:bidi w:val="0"/>
              <w:spacing w:before="0" w:after="283"/>
              <w:jc w:val="left"/>
              <w:rPr/>
            </w:pPr>
            <w:r>
              <w:rPr/>
              <w:t> </w:t>
            </w:r>
          </w:p>
        </w:tc>
        <w:tc>
          <w:tcPr>
            <w:tcW w:w="3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2" w:type="dxa"/>
            <w:tcBorders>
              <w:bottom w:val="single" w:sz="12" w:space="0" w:color="000000"/>
            </w:tcBorders>
            <w:shd w:fill="CCEEFF" w:val="clear"/>
            <w:tcMar>
              <w:bottom w:w="28" w:type="dxa"/>
            </w:tcMar>
            <w:vAlign w:val="bottom"/>
          </w:tcPr>
          <w:p>
            <w:pPr>
              <w:pStyle w:val="TableContents"/>
              <w:bidi w:val="0"/>
              <w:spacing w:before="0" w:after="0"/>
              <w:jc w:val="right"/>
              <w:rPr/>
            </w:pPr>
            <w:r>
              <w:rPr/>
              <w:t>16,941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bottom"/>
          </w:tcPr>
          <w:p>
            <w:pPr>
              <w:pStyle w:val="TableContents"/>
              <w:bidi w:val="0"/>
              <w:spacing w:before="0" w:after="0"/>
              <w:jc w:val="right"/>
              <w:rPr/>
            </w:pPr>
            <w:r>
              <w:rPr/>
              <w:t>994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17,935</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382" w:type="dxa"/>
            <w:tcBorders>
              <w:bottom w:val="double" w:sz="8" w:space="0" w:color="000000"/>
            </w:tcBorders>
            <w:tcMar>
              <w:bottom w:w="28" w:type="dxa"/>
            </w:tcMar>
            <w:vAlign w:val="bottom"/>
          </w:tcPr>
          <w:p>
            <w:pPr>
              <w:pStyle w:val="TableContents"/>
              <w:bidi w:val="0"/>
              <w:spacing w:before="0" w:after="0"/>
              <w:jc w:val="left"/>
              <w:rPr/>
            </w:pPr>
            <w:r>
              <w:rPr/>
              <w:t>$</w:t>
            </w:r>
          </w:p>
        </w:tc>
        <w:tc>
          <w:tcPr>
            <w:tcW w:w="1602" w:type="dxa"/>
            <w:tcBorders>
              <w:bottom w:val="double" w:sz="8" w:space="0" w:color="000000"/>
            </w:tcBorders>
            <w:tcMar>
              <w:bottom w:w="28" w:type="dxa"/>
            </w:tcMar>
            <w:vAlign w:val="bottom"/>
          </w:tcPr>
          <w:p>
            <w:pPr>
              <w:pStyle w:val="TableContents"/>
              <w:bidi w:val="0"/>
              <w:spacing w:before="0" w:after="0"/>
              <w:jc w:val="right"/>
              <w:rPr/>
            </w:pPr>
            <w:r>
              <w:rPr/>
              <w:t>29,143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bottom w:val="double" w:sz="8" w:space="0" w:color="000000"/>
            </w:tcBorders>
            <w:tcMar>
              <w:bottom w:w="28" w:type="dxa"/>
            </w:tcMar>
            <w:vAlign w:val="bottom"/>
          </w:tcPr>
          <w:p>
            <w:pPr>
              <w:pStyle w:val="TableContents"/>
              <w:bidi w:val="0"/>
              <w:spacing w:before="0" w:after="0"/>
              <w:jc w:val="left"/>
              <w:rPr/>
            </w:pPr>
            <w:r>
              <w:rPr/>
              <w:t>$</w:t>
            </w:r>
          </w:p>
        </w:tc>
        <w:tc>
          <w:tcPr>
            <w:tcW w:w="1549" w:type="dxa"/>
            <w:tcBorders>
              <w:bottom w:val="double" w:sz="8" w:space="0" w:color="000000"/>
            </w:tcBorders>
            <w:tcMar>
              <w:bottom w:w="28" w:type="dxa"/>
            </w:tcMar>
            <w:vAlign w:val="bottom"/>
          </w:tcPr>
          <w:p>
            <w:pPr>
              <w:pStyle w:val="TableContents"/>
              <w:bidi w:val="0"/>
              <w:spacing w:before="0" w:after="0"/>
              <w:jc w:val="right"/>
              <w:rPr/>
            </w:pPr>
            <w:r>
              <w:rPr/>
              <w:t>245,105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bottom w:val="double" w:sz="8" w:space="0" w:color="000000"/>
            </w:tcBorders>
            <w:tcMar>
              <w:bottom w:w="28" w:type="dxa"/>
            </w:tcMar>
            <w:vAlign w:val="bottom"/>
          </w:tcPr>
          <w:p>
            <w:pPr>
              <w:pStyle w:val="TableContents"/>
              <w:bidi w:val="0"/>
              <w:spacing w:before="0" w:after="0"/>
              <w:jc w:val="left"/>
              <w:rPr/>
            </w:pPr>
            <w:r>
              <w:rPr/>
              <w:t>$</w:t>
            </w:r>
          </w:p>
        </w:tc>
        <w:tc>
          <w:tcPr>
            <w:tcW w:w="1033" w:type="dxa"/>
            <w:tcBorders>
              <w:bottom w:val="double" w:sz="8" w:space="0" w:color="000000"/>
            </w:tcBorders>
            <w:tcMar>
              <w:bottom w:w="28" w:type="dxa"/>
            </w:tcMar>
            <w:vAlign w:val="bottom"/>
          </w:tcPr>
          <w:p>
            <w:pPr>
              <w:pStyle w:val="TableContents"/>
              <w:bidi w:val="0"/>
              <w:spacing w:before="0" w:after="0"/>
              <w:jc w:val="right"/>
              <w:rPr/>
            </w:pPr>
            <w:r>
              <w:rPr/>
              <w:t>193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274,441</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December 31, 2024, financial instruments carried at fair value were measured on a recurring basis as summarized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0" w:name="z36c540793bd742aa8918f6d00a2914f6"/>
      <w:bookmarkStart w:id="181" w:name="z36c540793bd742aa8918f6d00a2914f6"/>
      <w:bookmarkEnd w:id="181"/>
    </w:p>
    <w:tbl>
      <w:tblPr>
        <w:tblW w:w="9418" w:type="dxa"/>
        <w:jc w:val="left"/>
        <w:tblInd w:w="0" w:type="dxa"/>
        <w:tblLayout w:type="fixed"/>
        <w:tblCellMar>
          <w:top w:w="0" w:type="dxa"/>
          <w:left w:w="0" w:type="dxa"/>
          <w:bottom w:w="0" w:type="dxa"/>
          <w:right w:w="0" w:type="dxa"/>
        </w:tblCellMar>
      </w:tblPr>
      <w:tblGrid>
        <w:gridCol w:w="2360"/>
        <w:gridCol w:w="90"/>
        <w:gridCol w:w="382"/>
        <w:gridCol w:w="1602"/>
        <w:gridCol w:w="90"/>
        <w:gridCol w:w="90"/>
        <w:gridCol w:w="315"/>
        <w:gridCol w:w="1549"/>
        <w:gridCol w:w="90"/>
        <w:gridCol w:w="90"/>
        <w:gridCol w:w="427"/>
        <w:gridCol w:w="1033"/>
        <w:gridCol w:w="90"/>
        <w:gridCol w:w="90"/>
        <w:gridCol w:w="170"/>
        <w:gridCol w:w="830"/>
        <w:gridCol w:w="120"/>
      </w:tblGrid>
      <w:tr>
        <w:trPr/>
        <w:tc>
          <w:tcPr>
            <w:tcW w:w="2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Quoted Prices in</w:t>
            </w:r>
          </w:p>
          <w:p>
            <w:pPr>
              <w:pStyle w:val="TableContents"/>
              <w:bidi w:val="0"/>
              <w:spacing w:before="0" w:after="0"/>
              <w:jc w:val="center"/>
              <w:rPr>
                <w:b/>
              </w:rPr>
            </w:pPr>
            <w:r>
              <w:rPr>
                <w:b/>
              </w:rPr>
              <w:t>Active Markets</w:t>
            </w:r>
          </w:p>
          <w:p>
            <w:pPr>
              <w:pStyle w:val="TableContents"/>
              <w:bidi w:val="0"/>
              <w:spacing w:before="0" w:after="0"/>
              <w:jc w:val="center"/>
              <w:rPr>
                <w:b/>
              </w:rPr>
            </w:pPr>
            <w:r>
              <w:rPr>
                <w:b/>
              </w:rPr>
              <w:t>for Identical Assets</w:t>
            </w:r>
          </w:p>
          <w:p>
            <w:pPr>
              <w:pStyle w:val="TableContents"/>
              <w:bidi w:val="0"/>
              <w:spacing w:before="0" w:after="0"/>
              <w:jc w:val="center"/>
              <w:rPr>
                <w:b/>
              </w:rPr>
            </w:pPr>
            <w:r>
              <w:rPr>
                <w:b/>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Other 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Unobservable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0" w:type="dxa"/>
            <w:tcBorders/>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b/>
                <w:u w:val="single"/>
              </w:rPr>
            </w:pPr>
            <w:r>
              <w:rPr>
                <w:b/>
                <w:u w:val="single"/>
              </w:rPr>
              <w:t>Assets:</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Fixed maturity securities</w:t>
            </w:r>
          </w:p>
        </w:tc>
        <w:tc>
          <w:tcPr>
            <w:tcW w:w="9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0"/>
              <w:jc w:val="left"/>
              <w:rPr/>
            </w:pPr>
            <w:r>
              <w:rPr/>
              <w:t>$</w:t>
            </w:r>
          </w:p>
        </w:tc>
        <w:tc>
          <w:tcPr>
            <w:tcW w:w="160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0"/>
              <w:jc w:val="left"/>
              <w:rPr/>
            </w:pPr>
            <w:r>
              <w:rPr/>
              <w:t>$</w:t>
            </w:r>
          </w:p>
        </w:tc>
        <w:tc>
          <w:tcPr>
            <w:tcW w:w="1549" w:type="dxa"/>
            <w:tcBorders/>
            <w:shd w:fill="CCEEFF" w:val="clear"/>
            <w:vAlign w:val="bottom"/>
          </w:tcPr>
          <w:p>
            <w:pPr>
              <w:pStyle w:val="TableContents"/>
              <w:bidi w:val="0"/>
              <w:spacing w:before="0" w:after="0"/>
              <w:jc w:val="right"/>
              <w:rPr/>
            </w:pPr>
            <w:r>
              <w:rPr/>
              <w:t>212,612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0"/>
              <w:jc w:val="left"/>
              <w:rPr/>
            </w:pPr>
            <w:r>
              <w:rPr/>
              <w:t>$</w:t>
            </w:r>
          </w:p>
        </w:tc>
        <w:tc>
          <w:tcPr>
            <w:tcW w:w="103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212,612</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0"/>
              <w:jc w:val="right"/>
              <w:rPr/>
            </w:pPr>
            <w:r>
              <w:rPr/>
              <w:t>7,711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pPr>
            <w:r>
              <w:rPr/>
              <w:t>189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7,900</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Cash equivalents</w:t>
            </w:r>
          </w:p>
        </w:tc>
        <w:tc>
          <w:tcPr>
            <w:tcW w:w="90" w:type="dxa"/>
            <w:tcBorders/>
            <w:shd w:fill="CCEEFF" w:val="clear"/>
            <w:vAlign w:val="bottom"/>
          </w:tcPr>
          <w:p>
            <w:pPr>
              <w:pStyle w:val="TableContents"/>
              <w:bidi w:val="0"/>
              <w:spacing w:before="0" w:after="283"/>
              <w:jc w:val="left"/>
              <w:rPr/>
            </w:pPr>
            <w:r>
              <w:rPr/>
              <w:t> </w:t>
            </w:r>
          </w:p>
        </w:tc>
        <w:tc>
          <w:tcPr>
            <w:tcW w:w="3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2" w:type="dxa"/>
            <w:tcBorders>
              <w:bottom w:val="single" w:sz="12" w:space="0" w:color="000000"/>
            </w:tcBorders>
            <w:shd w:fill="CCEEFF" w:val="clear"/>
            <w:tcMar>
              <w:bottom w:w="28" w:type="dxa"/>
            </w:tcMar>
            <w:vAlign w:val="bottom"/>
          </w:tcPr>
          <w:p>
            <w:pPr>
              <w:pStyle w:val="TableContents"/>
              <w:bidi w:val="0"/>
              <w:spacing w:before="0" w:after="0"/>
              <w:jc w:val="right"/>
              <w:rPr/>
            </w:pPr>
            <w:r>
              <w:rPr/>
              <w:t>14,948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14,948</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382" w:type="dxa"/>
            <w:tcBorders>
              <w:bottom w:val="double" w:sz="8" w:space="0" w:color="000000"/>
            </w:tcBorders>
            <w:tcMar>
              <w:bottom w:w="28" w:type="dxa"/>
            </w:tcMar>
            <w:vAlign w:val="bottom"/>
          </w:tcPr>
          <w:p>
            <w:pPr>
              <w:pStyle w:val="TableContents"/>
              <w:bidi w:val="0"/>
              <w:spacing w:before="0" w:after="0"/>
              <w:jc w:val="left"/>
              <w:rPr/>
            </w:pPr>
            <w:r>
              <w:rPr/>
              <w:t>$</w:t>
            </w:r>
          </w:p>
        </w:tc>
        <w:tc>
          <w:tcPr>
            <w:tcW w:w="1602" w:type="dxa"/>
            <w:tcBorders>
              <w:bottom w:val="double" w:sz="8" w:space="0" w:color="000000"/>
            </w:tcBorders>
            <w:tcMar>
              <w:bottom w:w="28" w:type="dxa"/>
            </w:tcMar>
            <w:vAlign w:val="bottom"/>
          </w:tcPr>
          <w:p>
            <w:pPr>
              <w:pStyle w:val="TableContents"/>
              <w:bidi w:val="0"/>
              <w:spacing w:before="0" w:after="0"/>
              <w:jc w:val="right"/>
              <w:rPr/>
            </w:pPr>
            <w:r>
              <w:rPr/>
              <w:t>22,659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bottom w:val="double" w:sz="8" w:space="0" w:color="000000"/>
            </w:tcBorders>
            <w:tcMar>
              <w:bottom w:w="28" w:type="dxa"/>
            </w:tcMar>
            <w:vAlign w:val="bottom"/>
          </w:tcPr>
          <w:p>
            <w:pPr>
              <w:pStyle w:val="TableContents"/>
              <w:bidi w:val="0"/>
              <w:spacing w:before="0" w:after="0"/>
              <w:jc w:val="left"/>
              <w:rPr/>
            </w:pPr>
            <w:r>
              <w:rPr/>
              <w:t>$</w:t>
            </w:r>
          </w:p>
        </w:tc>
        <w:tc>
          <w:tcPr>
            <w:tcW w:w="1549" w:type="dxa"/>
            <w:tcBorders>
              <w:bottom w:val="double" w:sz="8" w:space="0" w:color="000000"/>
            </w:tcBorders>
            <w:tcMar>
              <w:bottom w:w="28" w:type="dxa"/>
            </w:tcMar>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bottom w:val="double" w:sz="8" w:space="0" w:color="000000"/>
            </w:tcBorders>
            <w:tcMar>
              <w:bottom w:w="28" w:type="dxa"/>
            </w:tcMar>
            <w:vAlign w:val="bottom"/>
          </w:tcPr>
          <w:p>
            <w:pPr>
              <w:pStyle w:val="TableContents"/>
              <w:bidi w:val="0"/>
              <w:spacing w:before="0" w:after="0"/>
              <w:jc w:val="left"/>
              <w:rPr/>
            </w:pPr>
            <w:r>
              <w:rPr/>
              <w:t>$</w:t>
            </w:r>
          </w:p>
        </w:tc>
        <w:tc>
          <w:tcPr>
            <w:tcW w:w="1033" w:type="dxa"/>
            <w:tcBorders>
              <w:bottom w:val="double" w:sz="8" w:space="0" w:color="000000"/>
            </w:tcBorders>
            <w:tcMar>
              <w:bottom w:w="28" w:type="dxa"/>
            </w:tcMar>
            <w:vAlign w:val="bottom"/>
          </w:tcPr>
          <w:p>
            <w:pPr>
              <w:pStyle w:val="TableContents"/>
              <w:bidi w:val="0"/>
              <w:spacing w:before="0" w:after="0"/>
              <w:jc w:val="right"/>
              <w:rPr/>
            </w:pPr>
            <w:r>
              <w:rPr/>
              <w:t>189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235,460</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the carrying amount, estimated fair value and level within the fair value hierarchy of the Company’s financial instruments as of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8834218296d24762af3af54147f80245"/>
      <w:bookmarkStart w:id="183" w:name="z8834218296d24762af3af54147f80245"/>
      <w:bookmarkEnd w:id="183"/>
    </w:p>
    <w:tbl>
      <w:tblPr>
        <w:tblW w:w="10118" w:type="dxa"/>
        <w:jc w:val="left"/>
        <w:tblInd w:w="0" w:type="dxa"/>
        <w:tblLayout w:type="fixed"/>
        <w:tblCellMar>
          <w:top w:w="0" w:type="dxa"/>
          <w:left w:w="0" w:type="dxa"/>
          <w:bottom w:w="0" w:type="dxa"/>
          <w:right w:w="0" w:type="dxa"/>
        </w:tblCellMar>
      </w:tblPr>
      <w:tblGrid>
        <w:gridCol w:w="3545"/>
        <w:gridCol w:w="90"/>
        <w:gridCol w:w="1355"/>
        <w:gridCol w:w="90"/>
        <w:gridCol w:w="90"/>
        <w:gridCol w:w="170"/>
        <w:gridCol w:w="830"/>
        <w:gridCol w:w="90"/>
        <w:gridCol w:w="90"/>
        <w:gridCol w:w="193"/>
        <w:gridCol w:w="951"/>
        <w:gridCol w:w="90"/>
        <w:gridCol w:w="90"/>
        <w:gridCol w:w="170"/>
        <w:gridCol w:w="830"/>
        <w:gridCol w:w="90"/>
        <w:gridCol w:w="90"/>
        <w:gridCol w:w="193"/>
        <w:gridCol w:w="951"/>
        <w:gridCol w:w="120"/>
      </w:tblGrid>
      <w:tr>
        <w:trPr/>
        <w:tc>
          <w:tcPr>
            <w:tcW w:w="3545" w:type="dxa"/>
            <w:vMerge w:val="restart"/>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355" w:type="dxa"/>
            <w:vMerge w:val="restart"/>
            <w:tcBorders>
              <w:bottom w:val="single" w:sz="12" w:space="0" w:color="000000"/>
            </w:tcBorders>
            <w:tcMar>
              <w:bottom w:w="28" w:type="dxa"/>
            </w:tcMar>
            <w:vAlign w:val="bottom"/>
          </w:tcPr>
          <w:p>
            <w:pPr>
              <w:pStyle w:val="TableContents"/>
              <w:bidi w:val="0"/>
              <w:spacing w:before="0" w:after="0"/>
              <w:jc w:val="center"/>
              <w:rPr>
                <w:b/>
              </w:rPr>
            </w:pPr>
            <w:r>
              <w:rPr>
                <w:b/>
              </w:rPr>
              <w:t>Level in</w:t>
            </w:r>
          </w:p>
          <w:p>
            <w:pPr>
              <w:pStyle w:val="TableContents"/>
              <w:bidi w:val="0"/>
              <w:spacing w:before="0" w:after="0"/>
              <w:jc w:val="center"/>
              <w:rPr>
                <w:b/>
              </w:rPr>
            </w:pPr>
            <w:r>
              <w:rPr>
                <w:b/>
              </w:rPr>
              <w:t>Fair Value</w:t>
            </w:r>
          </w:p>
          <w:p>
            <w:pPr>
              <w:pStyle w:val="TableContents"/>
              <w:bidi w:val="0"/>
              <w:spacing w:lineRule="auto" w:line="240" w:before="0" w:after="0"/>
              <w:jc w:val="center"/>
              <w:rPr>
                <w:b/>
              </w:rPr>
            </w:pPr>
            <w:r>
              <w:rPr>
                <w:b/>
              </w:rPr>
              <w:t>Hierarchy(1)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3545" w:type="dxa"/>
            <w:vMerge w:val="continue"/>
            <w:tcBorders/>
            <w:vAlign w:val="bottom"/>
          </w:tcPr>
          <w:p>
            <w:pPr>
              <w:pStyle w:val="Normal"/>
              <w:bidi w:val="0"/>
              <w:jc w:val="left"/>
              <w:rPr/>
            </w:pPr>
            <w:r>
              <w:rPr/>
            </w:r>
          </w:p>
        </w:tc>
        <w:tc>
          <w:tcPr>
            <w:tcW w:w="90" w:type="dxa"/>
            <w:tcBorders/>
            <w:vAlign w:val="bottom"/>
          </w:tcPr>
          <w:p>
            <w:pPr>
              <w:pStyle w:val="TableContents"/>
              <w:bidi w:val="0"/>
              <w:spacing w:before="0" w:after="283"/>
              <w:jc w:val="left"/>
              <w:rPr/>
            </w:pPr>
            <w:r>
              <w:rPr/>
              <w:t> </w:t>
            </w:r>
          </w:p>
        </w:tc>
        <w:tc>
          <w:tcPr>
            <w:tcW w:w="1355" w:type="dxa"/>
            <w:vMerge w:val="continue"/>
            <w:tcBorders>
              <w:bottom w:val="single" w:sz="12" w:space="0" w:color="000000"/>
            </w:tcBorders>
            <w:tcMar>
              <w:bottom w:w="28" w:type="dxa"/>
            </w:tcMar>
            <w:vAlign w:val="bottom"/>
          </w:tcPr>
          <w:p>
            <w:pPr>
              <w:pStyle w:val="Normal"/>
              <w:bidi w:val="0"/>
              <w:jc w:val="left"/>
              <w:rPr/>
            </w:pPr>
            <w:r>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w:t>
            </w:r>
          </w:p>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w:t>
            </w:r>
          </w:p>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120"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jc w:val="left"/>
              <w:rPr/>
            </w:pPr>
            <w:r>
              <w:rPr/>
              <w:t>Assets:</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Cash and cash equivalents</w:t>
            </w:r>
          </w:p>
        </w:tc>
        <w:tc>
          <w:tcPr>
            <w:tcW w:w="9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240" w:before="0" w:after="0"/>
              <w:jc w:val="center"/>
              <w:rPr/>
            </w:pPr>
            <w:r>
              <w:rPr/>
              <w:t> </w:t>
            </w:r>
            <w:r>
              <w:rPr/>
              <w:t>(1)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43,636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pPr>
            <w:r>
              <w:rPr/>
              <w:t>$</w:t>
            </w:r>
          </w:p>
        </w:tc>
        <w:tc>
          <w:tcPr>
            <w:tcW w:w="951" w:type="dxa"/>
            <w:tcBorders/>
            <w:shd w:fill="CCEEFF" w:val="clear"/>
            <w:vAlign w:val="bottom"/>
          </w:tcPr>
          <w:p>
            <w:pPr>
              <w:pStyle w:val="TableContents"/>
              <w:bidi w:val="0"/>
              <w:spacing w:before="0" w:after="0"/>
              <w:jc w:val="right"/>
              <w:rPr/>
            </w:pPr>
            <w:r>
              <w:rPr/>
              <w:t>43,636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35,570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pPr>
            <w:r>
              <w:rPr/>
              <w:t>$</w:t>
            </w:r>
          </w:p>
        </w:tc>
        <w:tc>
          <w:tcPr>
            <w:tcW w:w="951" w:type="dxa"/>
            <w:tcBorders/>
            <w:shd w:fill="CCEEFF" w:val="clear"/>
            <w:vAlign w:val="bottom"/>
          </w:tcPr>
          <w:p>
            <w:pPr>
              <w:pStyle w:val="TableContents"/>
              <w:bidi w:val="0"/>
              <w:spacing w:before="0" w:after="0"/>
              <w:jc w:val="right"/>
              <w:rPr/>
            </w:pPr>
            <w:r>
              <w:rPr/>
              <w:t>35,570</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0" w:right="0" w:firstLine="150"/>
              <w:jc w:val="left"/>
              <w:rPr/>
            </w:pPr>
            <w:r>
              <w:rPr/>
              <w:t>Fixed maturity securities</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pPr>
            <w:r>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212,612</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Equity securities</w:t>
            </w:r>
          </w:p>
        </w:tc>
        <w:tc>
          <w:tcPr>
            <w:tcW w:w="90" w:type="dxa"/>
            <w:tcBorders/>
            <w:shd w:fill="CCEEFF" w:val="clear"/>
            <w:vAlign w:val="bottom"/>
          </w:tcPr>
          <w:p>
            <w:pPr>
              <w:pStyle w:val="TableContents"/>
              <w:bidi w:val="0"/>
              <w:spacing w:before="0" w:after="283"/>
              <w:jc w:val="right"/>
              <w:rPr/>
            </w:pPr>
            <w:r>
              <w:rPr/>
              <w:t> </w:t>
            </w:r>
          </w:p>
        </w:tc>
        <w:tc>
          <w:tcPr>
            <w:tcW w:w="1355" w:type="dxa"/>
            <w:tcBorders/>
            <w:shd w:fill="CCEEFF" w:val="clear"/>
            <w:vAlign w:val="center"/>
          </w:tcPr>
          <w:p>
            <w:pPr>
              <w:pStyle w:val="TableContents"/>
              <w:bidi w:val="0"/>
              <w:spacing w:lineRule="auto" w:line="240" w:before="0" w:after="0"/>
              <w:jc w:val="center"/>
              <w:rPr/>
            </w:pPr>
            <w:r>
              <w:rPr/>
              <w:t> </w:t>
            </w:r>
            <w:r>
              <w:rPr/>
              <w:t>(1)</w:t>
            </w:r>
          </w:p>
        </w:tc>
        <w:tc>
          <w:tcPr>
            <w:tcW w:w="90" w:type="dxa"/>
            <w:tcBorders/>
            <w:shd w:fill="CCEEFF" w:val="clear"/>
            <w:vAlign w:val="bottom"/>
          </w:tcPr>
          <w:p>
            <w:pPr>
              <w:pStyle w:val="TableContents"/>
              <w:bidi w:val="0"/>
              <w:spacing w:before="0" w:after="0"/>
              <w:jc w:val="left"/>
              <w:rPr/>
            </w:pPr>
            <w:r>
              <w:rPr/>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7,900</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0" w:right="0" w:firstLine="150"/>
              <w:jc w:val="left"/>
              <w:rPr/>
            </w:pPr>
            <w:r>
              <w:rPr/>
              <w:t>Policy loans</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pPr>
            <w:r>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1,683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1,722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1,722</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35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jc w:val="left"/>
              <w:rPr/>
            </w:pPr>
            <w:r>
              <w:rPr/>
              <w:t>Liabilities:</w:t>
            </w:r>
          </w:p>
        </w:tc>
        <w:tc>
          <w:tcPr>
            <w:tcW w:w="90" w:type="dxa"/>
            <w:tcBorders/>
            <w:vAlign w:val="bottom"/>
          </w:tcPr>
          <w:p>
            <w:pPr>
              <w:pStyle w:val="TableContents"/>
              <w:bidi w:val="0"/>
              <w:spacing w:before="0" w:after="283"/>
              <w:jc w:val="right"/>
              <w:rPr/>
            </w:pPr>
            <w:r>
              <w:rPr/>
              <w:t> </w:t>
            </w:r>
          </w:p>
        </w:tc>
        <w:tc>
          <w:tcPr>
            <w:tcW w:w="135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Junior subordinated debentures, net</w:t>
            </w:r>
          </w:p>
        </w:tc>
        <w:tc>
          <w:tcPr>
            <w:tcW w:w="9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0"/>
              <w:jc w:val="center"/>
              <w:rPr/>
            </w:pPr>
            <w:r>
              <w:rPr/>
              <w:t>Level 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33,738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33,595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33,738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35,443</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0" w:right="0" w:firstLine="150"/>
              <w:jc w:val="left"/>
              <w:rPr/>
            </w:pPr>
            <w:r>
              <w:rPr/>
              <w:t>Revolving credit facility</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pPr>
            <w:r>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5,021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4,023</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Other policy liabilities -annuities</w:t>
            </w:r>
          </w:p>
        </w:tc>
        <w:tc>
          <w:tcPr>
            <w:tcW w:w="9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240" w:before="0" w:after="0"/>
              <w:jc w:val="center"/>
              <w:rPr/>
            </w:pPr>
            <w:r>
              <w:rPr/>
              <w:t>Level 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4,783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4,783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4,938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4,938</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7903b44453f745c09234bdd6ea76fb3f"/>
      <w:bookmarkStart w:id="185" w:name="z7903b44453f745c09234bdd6ea76fb3f"/>
      <w:bookmarkEnd w:id="185"/>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pPr>
            <w:r>
              <w:rPr/>
              <w:t>(1)</w:t>
            </w:r>
          </w:p>
        </w:tc>
        <w:tc>
          <w:tcPr>
            <w:tcW w:w="9895" w:type="dxa"/>
            <w:tcBorders/>
            <w:vAlign w:val="center"/>
          </w:tcPr>
          <w:p>
            <w:pPr>
              <w:pStyle w:val="TableContents"/>
              <w:bidi w:val="0"/>
              <w:spacing w:before="0" w:after="0"/>
              <w:jc w:val="left"/>
              <w:rPr/>
            </w:pPr>
            <w:r>
              <w:rPr/>
              <w:t>See the aforementioned information for a description of the fair value hierarchy as well as a disclosure of levels for classes of these financial assets.</w:t>
            </w:r>
          </w:p>
        </w:tc>
      </w:tr>
    </w:tbl>
    <w:p>
      <w:pPr>
        <w:pStyle w:val="Normal"/>
        <w:bidi w:val="0"/>
        <w:spacing w:before="0" w:after="0"/>
        <w:jc w:val="left"/>
        <w:rPr>
          <w:sz w:val="4"/>
          <w:szCs w:val="4"/>
        </w:rPr>
      </w:pPr>
      <w:r>
        <w:rPr>
          <w:sz w:val="4"/>
          <w:szCs w:val="4"/>
        </w:rPr>
      </w:r>
      <w:bookmarkStart w:id="186" w:name="z188e568f86034cab9e8a7c8e731c2d95"/>
      <w:bookmarkStart w:id="187" w:name="z188e568f86034cab9e8a7c8e731c2d95"/>
      <w:bookmarkEnd w:id="187"/>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pPr>
            <w:r>
              <w:rPr/>
              <w:t>(2)</w:t>
            </w:r>
          </w:p>
        </w:tc>
        <w:tc>
          <w:tcPr>
            <w:tcW w:w="9895" w:type="dxa"/>
            <w:tcBorders/>
            <w:vAlign w:val="center"/>
          </w:tcPr>
          <w:p>
            <w:pPr>
              <w:pStyle w:val="TableContents"/>
              <w:bidi w:val="0"/>
              <w:spacing w:before="0" w:after="0"/>
              <w:jc w:val="left"/>
              <w:rPr/>
            </w:pPr>
            <w:r>
              <w:rPr/>
              <w:t>This value relates to annuities, which is a financial instrument, whereas the remaining items within other policy liabilities are not financial instruments.</w:t>
            </w:r>
          </w:p>
        </w:tc>
      </w:tr>
    </w:tbl>
    <w:p>
      <w:pPr>
        <w:pStyle w:val="TextBody"/>
        <w:bidi w:val="0"/>
        <w:spacing w:before="0" w:after="0"/>
        <w:jc w:val="both"/>
        <w:rPr/>
      </w:pPr>
      <w:r>
        <w:rPr/>
      </w:r>
    </w:p>
    <w:p>
      <w:pPr>
        <w:pStyle w:val="TextBody"/>
        <w:bidi w:val="0"/>
        <w:spacing w:before="0" w:after="0"/>
        <w:jc w:val="left"/>
        <w:rPr>
          <w:rFonts w:ascii="Times New Roman" w:hAnsi="Times New Roman"/>
          <w:b/>
          <w:sz w:val="20"/>
        </w:rPr>
      </w:pPr>
      <w:r>
        <w:rPr>
          <w:rFonts w:ascii="Times New Roman" w:hAnsi="Times New Roman"/>
          <w:b/>
          <w:sz w:val="20"/>
        </w:rPr>
        <w:t>Note 4. Allowance for Expected Credit Losses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Reinsurance Recoverables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the balances of reinsurance recoverables, net of the allowance for expected credit losses, at December 31, 2025 and 2024, and the changes in the allowance for expected credit losses for the years ended December 31, 2025 and 2024:</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88" w:name="zd4f4a3a677e940f299da5f75c6ba9f08"/>
      <w:bookmarkStart w:id="189" w:name="zd4f4a3a677e940f299da5f75c6ba9f08"/>
      <w:bookmarkEnd w:id="189"/>
    </w:p>
    <w:tbl>
      <w:tblPr>
        <w:tblW w:w="9254" w:type="dxa"/>
        <w:jc w:val="left"/>
        <w:tblInd w:w="0" w:type="dxa"/>
        <w:tblLayout w:type="fixed"/>
        <w:tblCellMar>
          <w:top w:w="0" w:type="dxa"/>
          <w:left w:w="0" w:type="dxa"/>
          <w:bottom w:w="0" w:type="dxa"/>
          <w:right w:w="0" w:type="dxa"/>
        </w:tblCellMar>
      </w:tblPr>
      <w:tblGrid>
        <w:gridCol w:w="5840"/>
        <w:gridCol w:w="90"/>
        <w:gridCol w:w="329"/>
        <w:gridCol w:w="1377"/>
        <w:gridCol w:w="174"/>
        <w:gridCol w:w="174"/>
        <w:gridCol w:w="354"/>
        <w:gridCol w:w="761"/>
        <w:gridCol w:w="155"/>
      </w:tblGrid>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69"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At and year ended December </w:t>
            </w:r>
          </w:p>
          <w:p>
            <w:pPr>
              <w:pStyle w:val="TableContents"/>
              <w:bidi w:val="0"/>
              <w:spacing w:before="0" w:after="0"/>
              <w:jc w:val="center"/>
              <w:rPr>
                <w:b/>
              </w:rPr>
            </w:pPr>
            <w:r>
              <w:rPr>
                <w:b/>
              </w:rPr>
              <w:t>31, 2025</w:t>
            </w:r>
          </w:p>
        </w:tc>
        <w:tc>
          <w:tcPr>
            <w:tcW w:w="15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Reinsurance </w:t>
            </w:r>
          </w:p>
          <w:p>
            <w:pPr>
              <w:pStyle w:val="TableContents"/>
              <w:bidi w:val="0"/>
              <w:spacing w:before="0" w:after="0"/>
              <w:jc w:val="center"/>
              <w:rPr>
                <w:b/>
              </w:rPr>
            </w:pPr>
            <w:r>
              <w:rPr>
                <w:b/>
              </w:rPr>
              <w:t>Recoverables,</w:t>
            </w:r>
          </w:p>
          <w:p>
            <w:pPr>
              <w:pStyle w:val="TableContents"/>
              <w:bidi w:val="0"/>
              <w:spacing w:before="0" w:after="0"/>
              <w:jc w:val="center"/>
              <w:rPr>
                <w:b/>
              </w:rPr>
            </w:pPr>
            <w:r>
              <w:rPr>
                <w:b/>
              </w:rPr>
              <w:t xml:space="preserve">Net of </w:t>
            </w:r>
          </w:p>
          <w:p>
            <w:pPr>
              <w:pStyle w:val="TableContents"/>
              <w:bidi w:val="0"/>
              <w:spacing w:before="0" w:after="0"/>
              <w:jc w:val="center"/>
              <w:rPr>
                <w:b/>
              </w:rPr>
            </w:pPr>
            <w:r>
              <w:rPr>
                <w:b/>
              </w:rPr>
              <w:t xml:space="preserve">Allowance </w:t>
            </w:r>
          </w:p>
          <w:p>
            <w:pPr>
              <w:pStyle w:val="TableContents"/>
              <w:bidi w:val="0"/>
              <w:spacing w:before="0" w:after="0"/>
              <w:jc w:val="center"/>
              <w:rPr>
                <w:b/>
              </w:rPr>
            </w:pPr>
            <w:r>
              <w:rPr>
                <w:b/>
              </w:rPr>
              <w:t>for</w:t>
            </w:r>
          </w:p>
          <w:p>
            <w:pPr>
              <w:pStyle w:val="TableContents"/>
              <w:bidi w:val="0"/>
              <w:spacing w:before="0" w:after="0"/>
              <w:jc w:val="center"/>
              <w:rPr>
                <w:b/>
              </w:rPr>
            </w:pPr>
            <w:r>
              <w:rPr>
                <w:b/>
              </w:rPr>
              <w:t xml:space="preserve">Expected </w:t>
            </w:r>
          </w:p>
          <w:p>
            <w:pPr>
              <w:pStyle w:val="TableContents"/>
              <w:bidi w:val="0"/>
              <w:spacing w:before="0" w:after="0"/>
              <w:jc w:val="center"/>
              <w:rPr>
                <w:b/>
              </w:rPr>
            </w:pPr>
            <w:r>
              <w:rPr>
                <w:b/>
              </w:rPr>
              <w:t>Credit Losses</w:t>
            </w:r>
          </w:p>
        </w:tc>
        <w:tc>
          <w:tcPr>
            <w:tcW w:w="1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5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0"/>
              <w:jc w:val="left"/>
              <w:rPr/>
            </w:pPr>
            <w:r>
              <w:rPr/>
              <w:t>$</w:t>
            </w:r>
          </w:p>
        </w:tc>
        <w:tc>
          <w:tcPr>
            <w:tcW w:w="1377" w:type="dxa"/>
            <w:tcBorders/>
            <w:shd w:fill="CCEEFF" w:val="clear"/>
            <w:vAlign w:val="bottom"/>
          </w:tcPr>
          <w:p>
            <w:pPr>
              <w:pStyle w:val="TableContents"/>
              <w:bidi w:val="0"/>
              <w:spacing w:before="0" w:after="0"/>
              <w:jc w:val="right"/>
              <w:rPr/>
            </w:pPr>
            <w:r>
              <w:rPr/>
              <w:t>22,881</w:t>
            </w:r>
          </w:p>
        </w:tc>
        <w:tc>
          <w:tcPr>
            <w:tcW w:w="1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0"/>
              <w:jc w:val="left"/>
              <w:rPr/>
            </w:pPr>
            <w:r>
              <w:rPr/>
              <w:t>$</w:t>
            </w:r>
          </w:p>
        </w:tc>
        <w:tc>
          <w:tcPr>
            <w:tcW w:w="761" w:type="dxa"/>
            <w:tcBorders/>
            <w:shd w:fill="CCEEFF" w:val="clear"/>
            <w:vAlign w:val="bottom"/>
          </w:tcPr>
          <w:p>
            <w:pPr>
              <w:pStyle w:val="TableContents"/>
              <w:bidi w:val="0"/>
              <w:spacing w:before="0" w:after="0"/>
              <w:jc w:val="right"/>
              <w:rPr/>
            </w:pPr>
            <w:r>
              <w:rPr/>
              <w:t>73</w:t>
            </w:r>
          </w:p>
        </w:tc>
        <w:tc>
          <w:tcPr>
            <w:tcW w:w="15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Current period change for estimated uncollectible reinsurance</w:t>
            </w:r>
          </w:p>
        </w:tc>
        <w:tc>
          <w:tcPr>
            <w:tcW w:w="9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pPr>
            <w:r>
              <w:rPr/>
              <w:t>(15</w:t>
            </w:r>
          </w:p>
        </w:tc>
        <w:tc>
          <w:tcPr>
            <w:tcW w:w="155" w:type="dxa"/>
            <w:tcBorders/>
            <w:vAlign w:val="bottom"/>
          </w:tcPr>
          <w:p>
            <w:pPr>
              <w:pStyle w:val="TableContents"/>
              <w:bidi w:val="0"/>
              <w:spacing w:before="0" w:after="0"/>
              <w:jc w:val="left"/>
              <w:rPr/>
            </w:pPr>
            <w:r>
              <w:rPr/>
              <w:t>)</w:t>
            </w:r>
          </w:p>
        </w:tc>
      </w:tr>
      <w:tr>
        <w:trPr/>
        <w:tc>
          <w:tcPr>
            <w:tcW w:w="5840" w:type="dxa"/>
            <w:tcBorders/>
            <w:shd w:fill="CCEEFF" w:val="clear"/>
            <w:vAlign w:val="bottom"/>
          </w:tcPr>
          <w:p>
            <w:pPr>
              <w:pStyle w:val="TableContents"/>
              <w:bidi w:val="0"/>
              <w:spacing w:before="0" w:after="0"/>
              <w:jc w:val="left"/>
              <w:rPr/>
            </w:pPr>
            <w:r>
              <w:rPr/>
              <w:t>Write-offs of uncollectible reinsurance recoverables</w:t>
            </w:r>
          </w:p>
        </w:tc>
        <w:tc>
          <w:tcPr>
            <w:tcW w:w="90" w:type="dxa"/>
            <w:tcBorders/>
            <w:shd w:fill="CCEEFF" w:val="clear"/>
            <w:vAlign w:val="bottom"/>
          </w:tcPr>
          <w:p>
            <w:pPr>
              <w:pStyle w:val="TableContents"/>
              <w:bidi w:val="0"/>
              <w:spacing w:before="0" w:after="283"/>
              <w:jc w:val="left"/>
              <w:rPr/>
            </w:pPr>
            <w:r>
              <w:rPr/>
              <w:t> </w:t>
            </w:r>
          </w:p>
        </w:tc>
        <w:tc>
          <w:tcPr>
            <w:tcW w:w="3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3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29" w:type="dxa"/>
            <w:tcBorders>
              <w:bottom w:val="double" w:sz="8" w:space="0" w:color="000000"/>
            </w:tcBorders>
            <w:tcMar>
              <w:bottom w:w="28" w:type="dxa"/>
            </w:tcMar>
            <w:vAlign w:val="bottom"/>
          </w:tcPr>
          <w:p>
            <w:pPr>
              <w:pStyle w:val="TableContents"/>
              <w:bidi w:val="0"/>
              <w:spacing w:before="0" w:after="0"/>
              <w:jc w:val="left"/>
              <w:rPr/>
            </w:pPr>
            <w:r>
              <w:rPr/>
              <w:t>$</w:t>
            </w:r>
          </w:p>
        </w:tc>
        <w:tc>
          <w:tcPr>
            <w:tcW w:w="1377" w:type="dxa"/>
            <w:tcBorders>
              <w:bottom w:val="double" w:sz="8" w:space="0" w:color="000000"/>
            </w:tcBorders>
            <w:tcMar>
              <w:bottom w:w="28" w:type="dxa"/>
            </w:tcMar>
            <w:vAlign w:val="bottom"/>
          </w:tcPr>
          <w:p>
            <w:pPr>
              <w:pStyle w:val="TableContents"/>
              <w:bidi w:val="0"/>
              <w:spacing w:before="0" w:after="0"/>
              <w:jc w:val="right"/>
              <w:rPr/>
            </w:pPr>
            <w:r>
              <w:rPr/>
              <w:t>25,539</w:t>
            </w:r>
          </w:p>
        </w:tc>
        <w:tc>
          <w:tcPr>
            <w:tcW w:w="1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54" w:type="dxa"/>
            <w:tcBorders>
              <w:bottom w:val="double" w:sz="8" w:space="0" w:color="000000"/>
            </w:tcBorders>
            <w:tcMar>
              <w:bottom w:w="28" w:type="dxa"/>
            </w:tcMar>
            <w:vAlign w:val="bottom"/>
          </w:tcPr>
          <w:p>
            <w:pPr>
              <w:pStyle w:val="TableContents"/>
              <w:bidi w:val="0"/>
              <w:spacing w:before="0" w:after="0"/>
              <w:jc w:val="left"/>
              <w:rPr/>
            </w:pPr>
            <w:r>
              <w:rPr/>
              <w:t>$</w:t>
            </w:r>
          </w:p>
        </w:tc>
        <w:tc>
          <w:tcPr>
            <w:tcW w:w="761" w:type="dxa"/>
            <w:tcBorders>
              <w:bottom w:val="double" w:sz="8" w:space="0" w:color="000000"/>
            </w:tcBorders>
            <w:tcMar>
              <w:bottom w:w="28" w:type="dxa"/>
            </w:tcMar>
            <w:vAlign w:val="bottom"/>
          </w:tcPr>
          <w:p>
            <w:pPr>
              <w:pStyle w:val="TableContents"/>
              <w:bidi w:val="0"/>
              <w:spacing w:before="0" w:after="0"/>
              <w:jc w:val="right"/>
              <w:rPr/>
            </w:pPr>
            <w:r>
              <w:rPr/>
              <w:t>58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190" w:name="zc55104ad79e1451cbf9e02faf4f3deb3"/>
      <w:bookmarkStart w:id="191" w:name="zc55104ad79e1451cbf9e02faf4f3deb3"/>
      <w:bookmarkEnd w:id="191"/>
    </w:p>
    <w:tbl>
      <w:tblPr>
        <w:tblW w:w="9322" w:type="dxa"/>
        <w:jc w:val="left"/>
        <w:tblInd w:w="0" w:type="dxa"/>
        <w:tblLayout w:type="fixed"/>
        <w:tblCellMar>
          <w:top w:w="0" w:type="dxa"/>
          <w:left w:w="0" w:type="dxa"/>
          <w:bottom w:w="0" w:type="dxa"/>
          <w:right w:w="0" w:type="dxa"/>
        </w:tblCellMar>
      </w:tblPr>
      <w:tblGrid>
        <w:gridCol w:w="5840"/>
        <w:gridCol w:w="90"/>
        <w:gridCol w:w="346"/>
        <w:gridCol w:w="1445"/>
        <w:gridCol w:w="183"/>
        <w:gridCol w:w="183"/>
        <w:gridCol w:w="412"/>
        <w:gridCol w:w="703"/>
        <w:gridCol w:w="120"/>
      </w:tblGrid>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72"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At and year ended December </w:t>
            </w:r>
          </w:p>
          <w:p>
            <w:pPr>
              <w:pStyle w:val="TableContents"/>
              <w:bidi w:val="0"/>
              <w:spacing w:before="0" w:after="0"/>
              <w:jc w:val="center"/>
              <w:rPr>
                <w:b/>
              </w:rPr>
            </w:pPr>
            <w:r>
              <w:rPr>
                <w:b/>
              </w:rPr>
              <w:t>31, 2024 (Restated)</w:t>
            </w:r>
          </w:p>
        </w:tc>
        <w:tc>
          <w:tcPr>
            <w:tcW w:w="120"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1"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Reinsurance </w:t>
            </w:r>
          </w:p>
          <w:p>
            <w:pPr>
              <w:pStyle w:val="TableContents"/>
              <w:bidi w:val="0"/>
              <w:spacing w:before="0" w:after="0"/>
              <w:jc w:val="center"/>
              <w:rPr>
                <w:b/>
              </w:rPr>
            </w:pPr>
            <w:r>
              <w:rPr>
                <w:b/>
              </w:rPr>
              <w:t>Recoverables,</w:t>
            </w:r>
          </w:p>
          <w:p>
            <w:pPr>
              <w:pStyle w:val="TableContents"/>
              <w:bidi w:val="0"/>
              <w:spacing w:before="0" w:after="0"/>
              <w:jc w:val="center"/>
              <w:rPr>
                <w:b/>
              </w:rPr>
            </w:pPr>
            <w:r>
              <w:rPr>
                <w:b/>
              </w:rPr>
              <w:t xml:space="preserve">Net of </w:t>
            </w:r>
          </w:p>
          <w:p>
            <w:pPr>
              <w:pStyle w:val="TableContents"/>
              <w:bidi w:val="0"/>
              <w:spacing w:before="0" w:after="0"/>
              <w:jc w:val="center"/>
              <w:rPr>
                <w:b/>
              </w:rPr>
            </w:pPr>
            <w:r>
              <w:rPr>
                <w:b/>
              </w:rPr>
              <w:t xml:space="preserve">Allowance </w:t>
            </w:r>
          </w:p>
          <w:p>
            <w:pPr>
              <w:pStyle w:val="TableContents"/>
              <w:bidi w:val="0"/>
              <w:spacing w:before="0" w:after="0"/>
              <w:jc w:val="center"/>
              <w:rPr>
                <w:b/>
              </w:rPr>
            </w:pPr>
            <w:r>
              <w:rPr>
                <w:b/>
              </w:rPr>
              <w:t>for</w:t>
            </w:r>
          </w:p>
          <w:p>
            <w:pPr>
              <w:pStyle w:val="TableContents"/>
              <w:bidi w:val="0"/>
              <w:spacing w:before="0" w:after="0"/>
              <w:jc w:val="center"/>
              <w:rPr>
                <w:b/>
              </w:rPr>
            </w:pPr>
            <w:r>
              <w:rPr>
                <w:b/>
              </w:rPr>
              <w:t xml:space="preserve">Expected </w:t>
            </w:r>
          </w:p>
          <w:p>
            <w:pPr>
              <w:pStyle w:val="TableContents"/>
              <w:bidi w:val="0"/>
              <w:spacing w:before="0" w:after="0"/>
              <w:jc w:val="center"/>
              <w:rPr>
                <w:b/>
              </w:rPr>
            </w:pPr>
            <w:r>
              <w:rPr>
                <w:b/>
              </w:rPr>
              <w:t>Credit Losses</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2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0"/>
              <w:jc w:val="left"/>
              <w:rPr/>
            </w:pPr>
            <w:r>
              <w:rPr/>
              <w:t>$</w:t>
            </w:r>
          </w:p>
        </w:tc>
        <w:tc>
          <w:tcPr>
            <w:tcW w:w="1445" w:type="dxa"/>
            <w:tcBorders/>
            <w:shd w:fill="CCEEFF" w:val="clear"/>
            <w:vAlign w:val="bottom"/>
          </w:tcPr>
          <w:p>
            <w:pPr>
              <w:pStyle w:val="TableContents"/>
              <w:bidi w:val="0"/>
              <w:spacing w:before="0" w:after="0"/>
              <w:jc w:val="right"/>
              <w:rPr/>
            </w:pPr>
            <w:r>
              <w:rPr/>
              <w:t>23,953</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left"/>
              <w:rPr/>
            </w:pPr>
            <w:r>
              <w:rPr/>
              <w:t>$</w:t>
            </w:r>
          </w:p>
        </w:tc>
        <w:tc>
          <w:tcPr>
            <w:tcW w:w="703" w:type="dxa"/>
            <w:tcBorders/>
            <w:shd w:fill="CCEEFF" w:val="clear"/>
            <w:vAlign w:val="bottom"/>
          </w:tcPr>
          <w:p>
            <w:pPr>
              <w:pStyle w:val="TableContents"/>
              <w:bidi w:val="0"/>
              <w:spacing w:before="0" w:after="0"/>
              <w:jc w:val="right"/>
              <w:rPr/>
            </w:pPr>
            <w:r>
              <w:rPr/>
              <w:t>61</w:t>
            </w:r>
          </w:p>
        </w:tc>
        <w:tc>
          <w:tcPr>
            <w:tcW w:w="12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Current period change for estimated uncollectible reinsurance</w:t>
            </w:r>
          </w:p>
        </w:tc>
        <w:tc>
          <w:tcPr>
            <w:tcW w:w="9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pPr>
            <w:r>
              <w:rPr/>
              <w:t>12</w:t>
            </w:r>
          </w:p>
        </w:tc>
        <w:tc>
          <w:tcPr>
            <w:tcW w:w="12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jc w:val="left"/>
              <w:rPr/>
            </w:pPr>
            <w:r>
              <w:rPr/>
              <w:t>Write-offs of uncollectible reinsurance recoverables</w:t>
            </w:r>
          </w:p>
        </w:tc>
        <w:tc>
          <w:tcPr>
            <w:tcW w:w="90" w:type="dxa"/>
            <w:tcBorders/>
            <w:shd w:fill="CCEEFF" w:val="clear"/>
            <w:vAlign w:val="bottom"/>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46" w:type="dxa"/>
            <w:tcBorders>
              <w:bottom w:val="double" w:sz="8" w:space="0" w:color="000000"/>
            </w:tcBorders>
            <w:tcMar>
              <w:bottom w:w="28" w:type="dxa"/>
            </w:tcMar>
            <w:vAlign w:val="bottom"/>
          </w:tcPr>
          <w:p>
            <w:pPr>
              <w:pStyle w:val="TableContents"/>
              <w:bidi w:val="0"/>
              <w:spacing w:before="0" w:after="0"/>
              <w:jc w:val="left"/>
              <w:rPr/>
            </w:pPr>
            <w:r>
              <w:rPr/>
              <w:t>$</w:t>
            </w:r>
          </w:p>
        </w:tc>
        <w:tc>
          <w:tcPr>
            <w:tcW w:w="1445" w:type="dxa"/>
            <w:tcBorders>
              <w:bottom w:val="double" w:sz="8" w:space="0" w:color="000000"/>
            </w:tcBorders>
            <w:tcMar>
              <w:bottom w:w="28" w:type="dxa"/>
            </w:tcMar>
            <w:vAlign w:val="bottom"/>
          </w:tcPr>
          <w:p>
            <w:pPr>
              <w:pStyle w:val="TableContents"/>
              <w:bidi w:val="0"/>
              <w:spacing w:before="0" w:after="0"/>
              <w:jc w:val="right"/>
              <w:rPr/>
            </w:pPr>
            <w:r>
              <w:rPr/>
              <w:t>22,881</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12" w:type="dxa"/>
            <w:tcBorders>
              <w:bottom w:val="double" w:sz="8" w:space="0" w:color="000000"/>
            </w:tcBorders>
            <w:tcMar>
              <w:bottom w:w="28" w:type="dxa"/>
            </w:tcMar>
            <w:vAlign w:val="bottom"/>
          </w:tcPr>
          <w:p>
            <w:pPr>
              <w:pStyle w:val="TableContents"/>
              <w:bidi w:val="0"/>
              <w:spacing w:before="0" w:after="0"/>
              <w:jc w:val="left"/>
              <w:rPr/>
            </w:pPr>
            <w:r>
              <w:rPr/>
              <w:t>$</w:t>
            </w:r>
          </w:p>
        </w:tc>
        <w:tc>
          <w:tcPr>
            <w:tcW w:w="703" w:type="dxa"/>
            <w:tcBorders>
              <w:bottom w:val="double" w:sz="8" w:space="0" w:color="000000"/>
            </w:tcBorders>
            <w:tcMar>
              <w:bottom w:w="28" w:type="dxa"/>
            </w:tcMar>
            <w:vAlign w:val="bottom"/>
          </w:tcPr>
          <w:p>
            <w:pPr>
              <w:pStyle w:val="TableContents"/>
              <w:bidi w:val="0"/>
              <w:spacing w:before="0" w:after="0"/>
              <w:jc w:val="right"/>
              <w:rPr/>
            </w:pPr>
            <w:r>
              <w:rPr/>
              <w:t>73</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Insurance Premium and Other Receivables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presents the balances of insurance premiums and other, net of the allowance for expected credit losses, at December 31, 2025 and 2024, and the changes in the allowance for expected credit losses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c7065ac3e0734084ad37c885e037967e"/>
      <w:bookmarkStart w:id="193" w:name="zc7065ac3e0734084ad37c885e037967e"/>
      <w:bookmarkEnd w:id="193"/>
    </w:p>
    <w:tbl>
      <w:tblPr>
        <w:tblW w:w="9908" w:type="dxa"/>
        <w:jc w:val="left"/>
        <w:tblInd w:w="0" w:type="dxa"/>
        <w:tblLayout w:type="fixed"/>
        <w:tblCellMar>
          <w:top w:w="0" w:type="dxa"/>
          <w:left w:w="0" w:type="dxa"/>
          <w:bottom w:w="0" w:type="dxa"/>
          <w:right w:w="0" w:type="dxa"/>
        </w:tblCellMar>
      </w:tblPr>
      <w:tblGrid>
        <w:gridCol w:w="6530"/>
        <w:gridCol w:w="90"/>
        <w:gridCol w:w="314"/>
        <w:gridCol w:w="1313"/>
        <w:gridCol w:w="166"/>
        <w:gridCol w:w="166"/>
        <w:gridCol w:w="343"/>
        <w:gridCol w:w="831"/>
        <w:gridCol w:w="155"/>
      </w:tblGrid>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3" w:type="dxa"/>
            <w:gridSpan w:val="6"/>
            <w:tcBorders>
              <w:bottom w:val="single" w:sz="12" w:space="0" w:color="000000"/>
            </w:tcBorders>
            <w:tcMar>
              <w:bottom w:w="28" w:type="dxa"/>
            </w:tcMar>
            <w:vAlign w:val="bottom"/>
          </w:tcPr>
          <w:p>
            <w:pPr>
              <w:pStyle w:val="TableContents"/>
              <w:bidi w:val="0"/>
              <w:spacing w:before="0" w:after="0"/>
              <w:jc w:val="center"/>
              <w:rPr>
                <w:b/>
              </w:rPr>
            </w:pPr>
            <w:r>
              <w:rPr>
                <w:b/>
              </w:rPr>
              <w:t>At and year ended December</w:t>
            </w:r>
          </w:p>
          <w:p>
            <w:pPr>
              <w:pStyle w:val="TableContents"/>
              <w:bidi w:val="0"/>
              <w:spacing w:before="0" w:after="0"/>
              <w:jc w:val="center"/>
              <w:rPr>
                <w:b/>
              </w:rPr>
            </w:pPr>
            <w:r>
              <w:rPr>
                <w:b/>
              </w:rPr>
              <w:t>31, 2025</w:t>
            </w:r>
          </w:p>
        </w:tc>
        <w:tc>
          <w:tcPr>
            <w:tcW w:w="155"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Insurance </w:t>
            </w:r>
          </w:p>
          <w:p>
            <w:pPr>
              <w:pStyle w:val="TableContents"/>
              <w:bidi w:val="0"/>
              <w:spacing w:before="0" w:after="0"/>
              <w:jc w:val="center"/>
              <w:rPr>
                <w:b/>
              </w:rPr>
            </w:pPr>
            <w:r>
              <w:rPr>
                <w:b/>
              </w:rPr>
              <w:t>Premiums</w:t>
            </w:r>
          </w:p>
          <w:p>
            <w:pPr>
              <w:pStyle w:val="TableContents"/>
              <w:bidi w:val="0"/>
              <w:spacing w:before="0" w:after="0"/>
              <w:jc w:val="center"/>
              <w:rPr>
                <w:b/>
              </w:rPr>
            </w:pPr>
            <w:r>
              <w:rPr>
                <w:b/>
              </w:rPr>
              <w:t>and</w:t>
            </w:r>
          </w:p>
          <w:p>
            <w:pPr>
              <w:pStyle w:val="TableContents"/>
              <w:bidi w:val="0"/>
              <w:spacing w:before="0" w:after="0"/>
              <w:jc w:val="center"/>
              <w:rPr>
                <w:b/>
              </w:rPr>
            </w:pPr>
            <w:r>
              <w:rPr>
                <w:b/>
              </w:rPr>
              <w:t xml:space="preserve">Other, Net </w:t>
            </w:r>
          </w:p>
          <w:p>
            <w:pPr>
              <w:pStyle w:val="TableContents"/>
              <w:bidi w:val="0"/>
              <w:spacing w:before="0" w:after="0"/>
              <w:jc w:val="center"/>
              <w:rPr>
                <w:b/>
              </w:rPr>
            </w:pPr>
            <w:r>
              <w:rPr>
                <w:b/>
              </w:rPr>
              <w:t>of 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Allowance </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55"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0"/>
              <w:jc w:val="left"/>
              <w:rPr/>
            </w:pPr>
            <w:r>
              <w:rPr/>
              <w:t>$</w:t>
            </w:r>
          </w:p>
        </w:tc>
        <w:tc>
          <w:tcPr>
            <w:tcW w:w="1313" w:type="dxa"/>
            <w:tcBorders/>
            <w:shd w:fill="CCEEFF" w:val="clear"/>
            <w:vAlign w:val="bottom"/>
          </w:tcPr>
          <w:p>
            <w:pPr>
              <w:pStyle w:val="TableContents"/>
              <w:bidi w:val="0"/>
              <w:spacing w:before="0" w:after="0"/>
              <w:jc w:val="right"/>
              <w:rPr/>
            </w:pPr>
            <w:r>
              <w:rPr/>
              <w:t>21,878</w:t>
            </w:r>
          </w:p>
        </w:tc>
        <w:tc>
          <w:tcPr>
            <w:tcW w:w="16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0"/>
              <w:jc w:val="left"/>
              <w:rPr/>
            </w:pPr>
            <w:r>
              <w:rPr/>
              <w:t>$</w:t>
            </w:r>
          </w:p>
        </w:tc>
        <w:tc>
          <w:tcPr>
            <w:tcW w:w="831" w:type="dxa"/>
            <w:tcBorders/>
            <w:shd w:fill="CCEEFF" w:val="clear"/>
            <w:vAlign w:val="bottom"/>
          </w:tcPr>
          <w:p>
            <w:pPr>
              <w:pStyle w:val="TableContents"/>
              <w:bidi w:val="0"/>
              <w:spacing w:before="0" w:after="0"/>
              <w:jc w:val="right"/>
              <w:rPr/>
            </w:pPr>
            <w:r>
              <w:rPr/>
              <w:t>201</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Current period change for expected credit losses</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pPr>
            <w:r>
              <w:rPr/>
              <w:t>(12</w:t>
            </w:r>
          </w:p>
        </w:tc>
        <w:tc>
          <w:tcPr>
            <w:tcW w:w="155" w:type="dxa"/>
            <w:tcBorders/>
            <w:vAlign w:val="bottom"/>
          </w:tcPr>
          <w:p>
            <w:pPr>
              <w:pStyle w:val="TableContents"/>
              <w:bidi w:val="0"/>
              <w:spacing w:before="0" w:after="0"/>
              <w:jc w:val="left"/>
              <w:rPr/>
            </w:pPr>
            <w:r>
              <w:rPr/>
              <w:t>)</w:t>
            </w:r>
          </w:p>
        </w:tc>
      </w:tr>
      <w:tr>
        <w:trPr/>
        <w:tc>
          <w:tcPr>
            <w:tcW w:w="6530" w:type="dxa"/>
            <w:tcBorders/>
            <w:shd w:fill="CCEEFF" w:val="clear"/>
            <w:vAlign w:val="bottom"/>
          </w:tcPr>
          <w:p>
            <w:pPr>
              <w:pStyle w:val="TableContents"/>
              <w:bidi w:val="0"/>
              <w:spacing w:before="0" w:after="0"/>
              <w:jc w:val="left"/>
              <w:rPr/>
            </w:pPr>
            <w:r>
              <w:rPr/>
              <w:t>Write-offs of uncollectible insurance premiums and other receivables</w:t>
            </w:r>
          </w:p>
        </w:tc>
        <w:tc>
          <w:tcPr>
            <w:tcW w:w="90" w:type="dxa"/>
            <w:tcBorders/>
            <w:shd w:fill="CCEEFF" w:val="clear"/>
            <w:vAlign w:val="bottom"/>
          </w:tcPr>
          <w:p>
            <w:pPr>
              <w:pStyle w:val="TableContents"/>
              <w:bidi w:val="0"/>
              <w:spacing w:before="0" w:after="283"/>
              <w:jc w:val="left"/>
              <w:rPr/>
            </w:pPr>
            <w:r>
              <w:rPr/>
              <w:t> </w:t>
            </w:r>
          </w:p>
        </w:tc>
        <w:tc>
          <w:tcPr>
            <w:tcW w:w="3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14" w:type="dxa"/>
            <w:tcBorders>
              <w:bottom w:val="double" w:sz="8" w:space="0" w:color="000000"/>
            </w:tcBorders>
            <w:tcMar>
              <w:bottom w:w="28" w:type="dxa"/>
            </w:tcMar>
            <w:vAlign w:val="bottom"/>
          </w:tcPr>
          <w:p>
            <w:pPr>
              <w:pStyle w:val="TableContents"/>
              <w:bidi w:val="0"/>
              <w:spacing w:before="0" w:after="0"/>
              <w:jc w:val="left"/>
              <w:rPr/>
            </w:pPr>
            <w:r>
              <w:rPr/>
              <w:t>$</w:t>
            </w:r>
          </w:p>
        </w:tc>
        <w:tc>
          <w:tcPr>
            <w:tcW w:w="1313" w:type="dxa"/>
            <w:tcBorders>
              <w:bottom w:val="double" w:sz="8" w:space="0" w:color="000000"/>
            </w:tcBorders>
            <w:tcMar>
              <w:bottom w:w="28" w:type="dxa"/>
            </w:tcMar>
            <w:vAlign w:val="bottom"/>
          </w:tcPr>
          <w:p>
            <w:pPr>
              <w:pStyle w:val="TableContents"/>
              <w:bidi w:val="0"/>
              <w:spacing w:before="0" w:after="0"/>
              <w:jc w:val="right"/>
              <w:rPr/>
            </w:pPr>
            <w:r>
              <w:rPr/>
              <w:t>26,956</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43" w:type="dxa"/>
            <w:tcBorders>
              <w:bottom w:val="double" w:sz="8" w:space="0" w:color="000000"/>
            </w:tcBorders>
            <w:tcMar>
              <w:bottom w:w="28" w:type="dxa"/>
            </w:tcMar>
            <w:vAlign w:val="bottom"/>
          </w:tcPr>
          <w:p>
            <w:pPr>
              <w:pStyle w:val="TableContents"/>
              <w:bidi w:val="0"/>
              <w:spacing w:before="0" w:after="0"/>
              <w:jc w:val="left"/>
              <w:rPr/>
            </w:pPr>
            <w:r>
              <w:rPr/>
              <w:t>$</w:t>
            </w:r>
          </w:p>
        </w:tc>
        <w:tc>
          <w:tcPr>
            <w:tcW w:w="831" w:type="dxa"/>
            <w:tcBorders>
              <w:bottom w:val="double" w:sz="8" w:space="0" w:color="000000"/>
            </w:tcBorders>
            <w:tcMar>
              <w:bottom w:w="28" w:type="dxa"/>
            </w:tcMar>
            <w:vAlign w:val="bottom"/>
          </w:tcPr>
          <w:p>
            <w:pPr>
              <w:pStyle w:val="TableContents"/>
              <w:bidi w:val="0"/>
              <w:spacing w:before="0" w:after="0"/>
              <w:jc w:val="right"/>
              <w:rPr/>
            </w:pPr>
            <w:r>
              <w:rPr/>
              <w:t>189</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194" w:name="z8c6d304665bc4bbe85d2910a6dfb1ca9"/>
      <w:bookmarkStart w:id="195" w:name="z8c6d304665bc4bbe85d2910a6dfb1ca9"/>
      <w:bookmarkEnd w:id="195"/>
    </w:p>
    <w:tbl>
      <w:tblPr>
        <w:tblW w:w="9887" w:type="dxa"/>
        <w:jc w:val="left"/>
        <w:tblInd w:w="0" w:type="dxa"/>
        <w:tblLayout w:type="fixed"/>
        <w:tblCellMar>
          <w:top w:w="0" w:type="dxa"/>
          <w:left w:w="0" w:type="dxa"/>
          <w:bottom w:w="0" w:type="dxa"/>
          <w:right w:w="0" w:type="dxa"/>
        </w:tblCellMar>
      </w:tblPr>
      <w:tblGrid>
        <w:gridCol w:w="6530"/>
        <w:gridCol w:w="90"/>
        <w:gridCol w:w="320"/>
        <w:gridCol w:w="1339"/>
        <w:gridCol w:w="169"/>
        <w:gridCol w:w="169"/>
        <w:gridCol w:w="326"/>
        <w:gridCol w:w="789"/>
        <w:gridCol w:w="155"/>
      </w:tblGrid>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12"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At and year ended December </w:t>
            </w:r>
          </w:p>
          <w:p>
            <w:pPr>
              <w:pStyle w:val="TableContents"/>
              <w:bidi w:val="0"/>
              <w:spacing w:before="0" w:after="0"/>
              <w:jc w:val="center"/>
              <w:rPr>
                <w:b/>
              </w:rPr>
            </w:pPr>
            <w:r>
              <w:rPr>
                <w:b/>
              </w:rPr>
              <w:t>31, 2024 (restated)</w:t>
            </w:r>
          </w:p>
        </w:tc>
        <w:tc>
          <w:tcPr>
            <w:tcW w:w="155"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Insurance </w:t>
            </w:r>
          </w:p>
          <w:p>
            <w:pPr>
              <w:pStyle w:val="TableContents"/>
              <w:bidi w:val="0"/>
              <w:spacing w:before="0" w:after="0"/>
              <w:jc w:val="center"/>
              <w:rPr>
                <w:b/>
              </w:rPr>
            </w:pPr>
            <w:r>
              <w:rPr>
                <w:b/>
              </w:rPr>
              <w:t xml:space="preserve">Premiums </w:t>
            </w:r>
          </w:p>
          <w:p>
            <w:pPr>
              <w:pStyle w:val="TableContents"/>
              <w:bidi w:val="0"/>
              <w:spacing w:before="0" w:after="0"/>
              <w:jc w:val="center"/>
              <w:rPr>
                <w:b/>
              </w:rPr>
            </w:pPr>
            <w:r>
              <w:rPr>
                <w:b/>
              </w:rPr>
              <w:t>and</w:t>
            </w:r>
          </w:p>
          <w:p>
            <w:pPr>
              <w:pStyle w:val="TableContents"/>
              <w:bidi w:val="0"/>
              <w:spacing w:before="0" w:after="0"/>
              <w:jc w:val="center"/>
              <w:rPr>
                <w:b/>
              </w:rPr>
            </w:pPr>
            <w:r>
              <w:rPr>
                <w:b/>
              </w:rPr>
              <w:t xml:space="preserve">Other, Net </w:t>
            </w:r>
          </w:p>
          <w:p>
            <w:pPr>
              <w:pStyle w:val="TableContents"/>
              <w:bidi w:val="0"/>
              <w:spacing w:before="0" w:after="0"/>
              <w:jc w:val="center"/>
              <w:rPr>
                <w:b/>
              </w:rPr>
            </w:pPr>
            <w:r>
              <w:rPr>
                <w:b/>
              </w:rPr>
              <w:t>of 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55"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0"/>
              <w:jc w:val="left"/>
              <w:rPr/>
            </w:pPr>
            <w:r>
              <w:rPr/>
              <w:t>$</w:t>
            </w:r>
          </w:p>
        </w:tc>
        <w:tc>
          <w:tcPr>
            <w:tcW w:w="1339" w:type="dxa"/>
            <w:tcBorders/>
            <w:shd w:fill="CCEEFF" w:val="clear"/>
            <w:vAlign w:val="bottom"/>
          </w:tcPr>
          <w:p>
            <w:pPr>
              <w:pStyle w:val="TableContents"/>
              <w:bidi w:val="0"/>
              <w:spacing w:before="0" w:after="0"/>
              <w:jc w:val="right"/>
              <w:rPr/>
            </w:pPr>
            <w:r>
              <w:rPr/>
              <w:t>23,690</w:t>
            </w:r>
          </w:p>
        </w:tc>
        <w:tc>
          <w:tcPr>
            <w:tcW w:w="16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pPr>
            <w:r>
              <w:rPr/>
              <w:t>$</w:t>
            </w:r>
          </w:p>
        </w:tc>
        <w:tc>
          <w:tcPr>
            <w:tcW w:w="789" w:type="dxa"/>
            <w:tcBorders/>
            <w:shd w:fill="CCEEFF" w:val="clear"/>
            <w:vAlign w:val="bottom"/>
          </w:tcPr>
          <w:p>
            <w:pPr>
              <w:pStyle w:val="TableContents"/>
              <w:bidi w:val="0"/>
              <w:spacing w:before="0" w:after="0"/>
              <w:jc w:val="right"/>
              <w:rPr/>
            </w:pPr>
            <w:r>
              <w:rPr/>
              <w:t>217</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Current period change for expected credit losses</w:t>
            </w:r>
          </w:p>
        </w:tc>
        <w:tc>
          <w:tcPr>
            <w:tcW w:w="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0"/>
              <w:jc w:val="right"/>
              <w:rPr/>
            </w:pPr>
            <w:r>
              <w:rPr/>
              <w:t>(16</w:t>
            </w:r>
          </w:p>
        </w:tc>
        <w:tc>
          <w:tcPr>
            <w:tcW w:w="155" w:type="dxa"/>
            <w:tcBorders/>
            <w:vAlign w:val="bottom"/>
          </w:tcPr>
          <w:p>
            <w:pPr>
              <w:pStyle w:val="TableContents"/>
              <w:bidi w:val="0"/>
              <w:spacing w:before="0" w:after="0"/>
              <w:jc w:val="left"/>
              <w:rPr/>
            </w:pPr>
            <w:r>
              <w:rPr/>
              <w:t>)</w:t>
            </w:r>
          </w:p>
        </w:tc>
      </w:tr>
      <w:tr>
        <w:trPr/>
        <w:tc>
          <w:tcPr>
            <w:tcW w:w="6530" w:type="dxa"/>
            <w:tcBorders/>
            <w:shd w:fill="CCEEFF" w:val="clear"/>
            <w:vAlign w:val="bottom"/>
          </w:tcPr>
          <w:p>
            <w:pPr>
              <w:pStyle w:val="TableContents"/>
              <w:bidi w:val="0"/>
              <w:spacing w:before="0" w:after="0"/>
              <w:jc w:val="left"/>
              <w:rPr/>
            </w:pPr>
            <w:r>
              <w:rPr/>
              <w:t>Write-offs of uncollectible insurance premiums and other receivables</w:t>
            </w:r>
          </w:p>
        </w:tc>
        <w:tc>
          <w:tcPr>
            <w:tcW w:w="90" w:type="dxa"/>
            <w:tcBorders/>
            <w:shd w:fill="CCEEFF" w:val="clear"/>
            <w:vAlign w:val="bottom"/>
          </w:tcPr>
          <w:p>
            <w:pPr>
              <w:pStyle w:val="TableContents"/>
              <w:bidi w:val="0"/>
              <w:spacing w:before="0" w:after="283"/>
              <w:jc w:val="left"/>
              <w:rPr/>
            </w:pPr>
            <w:r>
              <w:rPr/>
              <w:t> </w:t>
            </w:r>
          </w:p>
        </w:tc>
        <w:tc>
          <w:tcPr>
            <w:tcW w:w="3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3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20" w:type="dxa"/>
            <w:tcBorders>
              <w:bottom w:val="double" w:sz="8" w:space="0" w:color="000000"/>
            </w:tcBorders>
            <w:tcMar>
              <w:bottom w:w="28" w:type="dxa"/>
            </w:tcMar>
            <w:vAlign w:val="bottom"/>
          </w:tcPr>
          <w:p>
            <w:pPr>
              <w:pStyle w:val="TableContents"/>
              <w:bidi w:val="0"/>
              <w:spacing w:before="0" w:after="0"/>
              <w:jc w:val="left"/>
              <w:rPr/>
            </w:pPr>
            <w:r>
              <w:rPr/>
              <w:t>$</w:t>
            </w:r>
          </w:p>
        </w:tc>
        <w:tc>
          <w:tcPr>
            <w:tcW w:w="1339" w:type="dxa"/>
            <w:tcBorders>
              <w:bottom w:val="double" w:sz="8" w:space="0" w:color="000000"/>
            </w:tcBorders>
            <w:tcMar>
              <w:bottom w:w="28" w:type="dxa"/>
            </w:tcMar>
            <w:vAlign w:val="bottom"/>
          </w:tcPr>
          <w:p>
            <w:pPr>
              <w:pStyle w:val="TableContents"/>
              <w:bidi w:val="0"/>
              <w:spacing w:before="0" w:after="0"/>
              <w:jc w:val="right"/>
              <w:rPr/>
            </w:pPr>
            <w:r>
              <w:rPr/>
              <w:t>21,878</w:t>
            </w:r>
          </w:p>
        </w:tc>
        <w:tc>
          <w:tcPr>
            <w:tcW w:w="1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26" w:type="dxa"/>
            <w:tcBorders>
              <w:bottom w:val="double" w:sz="8" w:space="0" w:color="000000"/>
            </w:tcBorders>
            <w:tcMar>
              <w:bottom w:w="28" w:type="dxa"/>
            </w:tcMar>
            <w:vAlign w:val="bottom"/>
          </w:tcPr>
          <w:p>
            <w:pPr>
              <w:pStyle w:val="TableContents"/>
              <w:bidi w:val="0"/>
              <w:spacing w:before="0" w:after="0"/>
              <w:jc w:val="left"/>
              <w:rPr/>
            </w:pPr>
            <w:r>
              <w:rPr/>
              <w:t>$</w:t>
            </w:r>
          </w:p>
        </w:tc>
        <w:tc>
          <w:tcPr>
            <w:tcW w:w="789" w:type="dxa"/>
            <w:tcBorders>
              <w:bottom w:val="double" w:sz="8" w:space="0" w:color="000000"/>
            </w:tcBorders>
            <w:tcMar>
              <w:bottom w:w="28" w:type="dxa"/>
            </w:tcMar>
            <w:vAlign w:val="bottom"/>
          </w:tcPr>
          <w:p>
            <w:pPr>
              <w:pStyle w:val="TableContents"/>
              <w:bidi w:val="0"/>
              <w:spacing w:before="0" w:after="0"/>
              <w:jc w:val="right"/>
              <w:rPr/>
            </w:pPr>
            <w:r>
              <w:rPr/>
              <w:t>201</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5. Deferred Policy Acquisition Costs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following table presents a rollforward of deferred policy acquisition costs by segment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6" w:name="z69dde887e2964053b408ac33e5d604ab"/>
      <w:bookmarkStart w:id="197" w:name="z69dde887e2964053b408ac33e5d604ab"/>
      <w:bookmarkEnd w:id="197"/>
    </w:p>
    <w:tbl>
      <w:tblPr>
        <w:tblW w:w="10205" w:type="dxa"/>
        <w:jc w:val="left"/>
        <w:tblInd w:w="0" w:type="dxa"/>
        <w:tblLayout w:type="fixed"/>
        <w:tblCellMar>
          <w:top w:w="0" w:type="dxa"/>
          <w:left w:w="0" w:type="dxa"/>
          <w:bottom w:w="0" w:type="dxa"/>
          <w:right w:w="0" w:type="dxa"/>
        </w:tblCellMar>
      </w:tblPr>
      <w:tblGrid>
        <w:gridCol w:w="3005"/>
        <w:gridCol w:w="90"/>
        <w:gridCol w:w="214"/>
        <w:gridCol w:w="841"/>
        <w:gridCol w:w="125"/>
        <w:gridCol w:w="90"/>
        <w:gridCol w:w="174"/>
        <w:gridCol w:w="731"/>
        <w:gridCol w:w="125"/>
        <w:gridCol w:w="90"/>
        <w:gridCol w:w="170"/>
        <w:gridCol w:w="785"/>
        <w:gridCol w:w="125"/>
        <w:gridCol w:w="90"/>
        <w:gridCol w:w="214"/>
        <w:gridCol w:w="841"/>
        <w:gridCol w:w="125"/>
        <w:gridCol w:w="90"/>
        <w:gridCol w:w="170"/>
        <w:gridCol w:w="785"/>
        <w:gridCol w:w="125"/>
        <w:gridCol w:w="90"/>
        <w:gridCol w:w="170"/>
        <w:gridCol w:w="785"/>
        <w:gridCol w:w="155"/>
      </w:tblGrid>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4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9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2024 (Restated)</w:t>
            </w:r>
          </w:p>
        </w:tc>
        <w:tc>
          <w:tcPr>
            <w:tcW w:w="15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b/>
              </w:rPr>
            </w:pPr>
            <w:r>
              <w:rPr>
                <w:b/>
              </w:rPr>
              <w:t>Deferred policy acquisition costs:</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0" w:right="0" w:firstLine="15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841" w:type="dxa"/>
            <w:tcBorders/>
            <w:shd w:fill="CCEEFF" w:val="clear"/>
            <w:vAlign w:val="bottom"/>
          </w:tcPr>
          <w:p>
            <w:pPr>
              <w:pStyle w:val="TableContents"/>
              <w:bidi w:val="0"/>
              <w:spacing w:before="0" w:after="0"/>
              <w:jc w:val="right"/>
              <w:rPr/>
            </w:pPr>
            <w:r>
              <w:rPr/>
              <w:t>2,866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731" w:type="dxa"/>
            <w:tcBorders/>
            <w:shd w:fill="CCEEFF" w:val="clear"/>
            <w:vAlign w:val="bottom"/>
          </w:tcPr>
          <w:p>
            <w:pPr>
              <w:pStyle w:val="TableContents"/>
              <w:bidi w:val="0"/>
              <w:spacing w:before="0" w:after="0"/>
              <w:jc w:val="right"/>
              <w:rPr/>
            </w:pPr>
            <w:r>
              <w:rPr/>
              <w:t>38,378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41,244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841" w:type="dxa"/>
            <w:tcBorders/>
            <w:shd w:fill="CCEEFF" w:val="clear"/>
            <w:vAlign w:val="bottom"/>
          </w:tcPr>
          <w:p>
            <w:pPr>
              <w:pStyle w:val="TableContents"/>
              <w:bidi w:val="0"/>
              <w:spacing w:before="0" w:after="0"/>
              <w:jc w:val="right"/>
              <w:rPr/>
            </w:pPr>
            <w:r>
              <w:rPr/>
              <w:t>2,700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37,856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40,556</w:t>
            </w:r>
          </w:p>
        </w:tc>
        <w:tc>
          <w:tcPr>
            <w:tcW w:w="155"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0" w:right="0" w:firstLine="150"/>
              <w:jc w:val="left"/>
              <w:rPr/>
            </w:pPr>
            <w:r>
              <w:rPr/>
              <w:t>Capitalization</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pPr>
            <w:r>
              <w:rPr/>
              <w:t>9,634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pPr>
            <w:r>
              <w:rPr/>
              <w:t>10,298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19,932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pPr>
            <w:r>
              <w:rPr/>
              <w:t>8,498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10,741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19,239</w:t>
            </w:r>
          </w:p>
        </w:tc>
        <w:tc>
          <w:tcPr>
            <w:tcW w:w="15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0" w:right="0" w:firstLine="150"/>
              <w:jc w:val="left"/>
              <w:rPr/>
            </w:pPr>
            <w:r>
              <w:rPr/>
              <w:t>Amortization</w:t>
            </w:r>
          </w:p>
        </w:tc>
        <w:tc>
          <w:tcPr>
            <w:tcW w:w="90"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bidi w:val="0"/>
              <w:spacing w:before="0" w:after="0"/>
              <w:jc w:val="right"/>
              <w:rPr/>
            </w:pPr>
            <w:r>
              <w:rPr/>
              <w:t>(9,745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before="0" w:after="0"/>
              <w:jc w:val="right"/>
              <w:rPr/>
            </w:pPr>
            <w:r>
              <w:rPr/>
              <w:t>(9,113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(18,858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bidi w:val="0"/>
              <w:spacing w:before="0" w:after="0"/>
              <w:jc w:val="right"/>
              <w:rPr/>
            </w:pPr>
            <w:r>
              <w:rPr/>
              <w:t>(8,332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(10,219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(18,551</w:t>
            </w:r>
          </w:p>
        </w:tc>
        <w:tc>
          <w:tcPr>
            <w:tcW w:w="155"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lineRule="auto" w:line="240" w:before="0" w:after="0"/>
              <w:ind w:left="180" w:right="0" w:firstLine="150"/>
              <w:jc w:val="left"/>
              <w:rPr/>
            </w:pPr>
            <w:r>
              <w:rPr/>
              <w:t>Balance, end of year(1)</w:t>
            </w:r>
          </w:p>
        </w:tc>
        <w:tc>
          <w:tcPr>
            <w:tcW w:w="90"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841" w:type="dxa"/>
            <w:tcBorders>
              <w:bottom w:val="double" w:sz="8" w:space="0" w:color="000000"/>
            </w:tcBorders>
            <w:tcMar>
              <w:bottom w:w="28" w:type="dxa"/>
            </w:tcMar>
            <w:vAlign w:val="bottom"/>
          </w:tcPr>
          <w:p>
            <w:pPr>
              <w:pStyle w:val="TableContents"/>
              <w:bidi w:val="0"/>
              <w:spacing w:before="0" w:after="0"/>
              <w:jc w:val="right"/>
              <w:rPr/>
            </w:pPr>
            <w:r>
              <w:rPr/>
              <w:t>2,755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pPr>
            <w:r>
              <w:rPr/>
              <w:t>$</w:t>
            </w:r>
          </w:p>
        </w:tc>
        <w:tc>
          <w:tcPr>
            <w:tcW w:w="731" w:type="dxa"/>
            <w:tcBorders>
              <w:bottom w:val="double" w:sz="8" w:space="0" w:color="000000"/>
            </w:tcBorders>
            <w:tcMar>
              <w:bottom w:w="28" w:type="dxa"/>
            </w:tcMar>
            <w:vAlign w:val="bottom"/>
          </w:tcPr>
          <w:p>
            <w:pPr>
              <w:pStyle w:val="TableContents"/>
              <w:bidi w:val="0"/>
              <w:spacing w:before="0" w:after="0"/>
              <w:jc w:val="right"/>
              <w:rPr/>
            </w:pPr>
            <w:r>
              <w:rPr/>
              <w:t>39,563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42,318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841" w:type="dxa"/>
            <w:tcBorders>
              <w:bottom w:val="double" w:sz="8" w:space="0" w:color="000000"/>
            </w:tcBorders>
            <w:tcMar>
              <w:bottom w:w="28" w:type="dxa"/>
            </w:tcMar>
            <w:vAlign w:val="bottom"/>
          </w:tcPr>
          <w:p>
            <w:pPr>
              <w:pStyle w:val="TableContents"/>
              <w:bidi w:val="0"/>
              <w:spacing w:before="0" w:after="0"/>
              <w:jc w:val="right"/>
              <w:rPr/>
            </w:pPr>
            <w:r>
              <w:rPr/>
              <w:t>2,866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38,378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41,244</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1) DAC is associated with the following product lines: American Southern products include automobile liability, general liability, inland marine, automobile physical damage, and surety; and Bankers Fidelity products include individual life, group whole life, Medicare Supplement, and individual and group accident and health products.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 following table presents a rollforward of deferred policy acquisition costs for American Southern by line of business for the years ended December 31, 2025 and 2024:</w:t>
      </w:r>
    </w:p>
    <w:p>
      <w:pPr>
        <w:pStyle w:val="TextBody"/>
        <w:bidi w:val="0"/>
        <w:spacing w:before="0" w:after="0"/>
        <w:ind w:left="0" w:right="0" w:firstLine="525"/>
        <w:jc w:val="both"/>
        <w:rPr/>
      </w:pPr>
      <w:r>
        <w:rPr/>
      </w:r>
    </w:p>
    <w:p>
      <w:pPr>
        <w:pStyle w:val="Normal"/>
        <w:bidi w:val="0"/>
        <w:spacing w:before="0" w:after="0"/>
        <w:jc w:val="left"/>
        <w:rPr>
          <w:sz w:val="4"/>
          <w:szCs w:val="4"/>
        </w:rPr>
      </w:pPr>
      <w:r>
        <w:rPr>
          <w:sz w:val="4"/>
          <w:szCs w:val="4"/>
        </w:rPr>
      </w:r>
      <w:bookmarkStart w:id="198" w:name="zb3d82eb48c92415db8b79a4c0b46c9cd"/>
      <w:bookmarkStart w:id="199" w:name="zb3d82eb48c92415db8b79a4c0b46c9cd"/>
      <w:bookmarkEnd w:id="199"/>
    </w:p>
    <w:tbl>
      <w:tblPr>
        <w:tblW w:w="10205" w:type="dxa"/>
        <w:jc w:val="left"/>
        <w:tblInd w:w="0" w:type="dxa"/>
        <w:tblLayout w:type="fixed"/>
        <w:tblCellMar>
          <w:top w:w="0" w:type="dxa"/>
          <w:left w:w="0" w:type="dxa"/>
          <w:bottom w:w="0" w:type="dxa"/>
          <w:right w:w="0" w:type="dxa"/>
        </w:tblCellMar>
      </w:tblPr>
      <w:tblGrid>
        <w:gridCol w:w="2966"/>
        <w:gridCol w:w="90"/>
        <w:gridCol w:w="257"/>
        <w:gridCol w:w="1010"/>
        <w:gridCol w:w="125"/>
        <w:gridCol w:w="90"/>
        <w:gridCol w:w="185"/>
        <w:gridCol w:w="727"/>
        <w:gridCol w:w="125"/>
        <w:gridCol w:w="90"/>
        <w:gridCol w:w="207"/>
        <w:gridCol w:w="593"/>
        <w:gridCol w:w="125"/>
        <w:gridCol w:w="90"/>
        <w:gridCol w:w="257"/>
        <w:gridCol w:w="1010"/>
        <w:gridCol w:w="125"/>
        <w:gridCol w:w="90"/>
        <w:gridCol w:w="170"/>
        <w:gridCol w:w="665"/>
        <w:gridCol w:w="125"/>
        <w:gridCol w:w="90"/>
        <w:gridCol w:w="170"/>
        <w:gridCol w:w="665"/>
        <w:gridCol w:w="158"/>
      </w:tblGrid>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91"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2"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General </w:t>
            </w:r>
          </w:p>
          <w:p>
            <w:pPr>
              <w:pStyle w:val="TableContents"/>
              <w:bidi w:val="0"/>
              <w:spacing w:before="0" w:after="0"/>
              <w:jc w:val="center"/>
              <w:rPr>
                <w:b/>
              </w:rPr>
            </w:pPr>
            <w:r>
              <w:rPr>
                <w:b/>
              </w:rP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Inland </w:t>
            </w:r>
          </w:p>
          <w:p>
            <w:pPr>
              <w:pStyle w:val="TableContents"/>
              <w:bidi w:val="0"/>
              <w:spacing w:before="0" w:after="0"/>
              <w:jc w:val="center"/>
              <w:rPr>
                <w:b/>
              </w:rPr>
            </w:pPr>
            <w:r>
              <w:rPr>
                <w:b/>
              </w:rPr>
              <w:t>Marine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 xml:space="preserve">Physical </w:t>
            </w:r>
          </w:p>
          <w:p>
            <w:pPr>
              <w:pStyle w:val="TableContents"/>
              <w:bidi w:val="0"/>
              <w:spacing w:before="0" w:after="0"/>
              <w:jc w:val="center"/>
              <w:rPr>
                <w:b/>
              </w:rPr>
            </w:pPr>
            <w:r>
              <w:rPr>
                <w:b/>
              </w:rPr>
              <w:t>Damage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Surety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721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727" w:type="dxa"/>
            <w:tcBorders/>
            <w:shd w:fill="CCEEFF" w:val="clear"/>
            <w:vAlign w:val="bottom"/>
          </w:tcPr>
          <w:p>
            <w:pPr>
              <w:pStyle w:val="TableContents"/>
              <w:bidi w:val="0"/>
              <w:spacing w:before="0" w:after="0"/>
              <w:jc w:val="right"/>
              <w:rPr/>
            </w:pPr>
            <w:r>
              <w:rPr/>
              <w:t>633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pPr>
            <w:r>
              <w:rPr/>
              <w:t>$</w:t>
            </w:r>
          </w:p>
        </w:tc>
        <w:tc>
          <w:tcPr>
            <w:tcW w:w="593" w:type="dxa"/>
            <w:tcBorders/>
            <w:shd w:fill="CCEEFF" w:val="clear"/>
            <w:vAlign w:val="bottom"/>
          </w:tcPr>
          <w:p>
            <w:pPr>
              <w:pStyle w:val="TableContents"/>
              <w:bidi w:val="0"/>
              <w:spacing w:before="0" w:after="0"/>
              <w:jc w:val="right"/>
              <w:rPr/>
            </w:pPr>
            <w:r>
              <w:rPr/>
              <w:t>186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524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802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2,866</w:t>
            </w:r>
          </w:p>
        </w:tc>
        <w:tc>
          <w:tcPr>
            <w:tcW w:w="158" w:type="dxa"/>
            <w:tcBorders/>
            <w:shd w:fill="CCEEFF" w:val="clear"/>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2,781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0"/>
              <w:jc w:val="right"/>
              <w:rPr/>
            </w:pPr>
            <w:r>
              <w:rPr/>
              <w:t>2,182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0"/>
              <w:jc w:val="right"/>
              <w:rPr/>
            </w:pPr>
            <w:r>
              <w:rPr/>
              <w:t>691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1,876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2,104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9,634</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jc w:val="left"/>
              <w:rPr/>
            </w:pPr>
            <w:r>
              <w:rPr/>
              <w:t>Amortization of DAC</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(2,707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pPr>
            <w:r>
              <w:rPr/>
              <w:t>(2,191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3" w:type="dxa"/>
            <w:tcBorders>
              <w:bottom w:val="single" w:sz="12" w:space="0" w:color="000000"/>
            </w:tcBorders>
            <w:shd w:fill="CCEEFF" w:val="clear"/>
            <w:tcMar>
              <w:bottom w:w="28" w:type="dxa"/>
            </w:tcMar>
            <w:vAlign w:val="bottom"/>
          </w:tcPr>
          <w:p>
            <w:pPr>
              <w:pStyle w:val="TableContents"/>
              <w:bidi w:val="0"/>
              <w:spacing w:before="0" w:after="0"/>
              <w:jc w:val="right"/>
              <w:rPr/>
            </w:pPr>
            <w:r>
              <w:rPr/>
              <w:t>(679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(1,864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(2,304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(9,745</w:t>
            </w:r>
          </w:p>
        </w:tc>
        <w:tc>
          <w:tcPr>
            <w:tcW w:w="158" w:type="dxa"/>
            <w:tcBorders/>
            <w:shd w:fill="CCEEFF" w:val="clear"/>
            <w:vAlign w:val="bottom"/>
          </w:tcPr>
          <w:p>
            <w:pPr>
              <w:pStyle w:val="TableContents"/>
              <w:bidi w:val="0"/>
              <w:spacing w:before="0" w:after="0"/>
              <w:jc w:val="left"/>
              <w:rPr/>
            </w:pPr>
            <w:r>
              <w:rPr/>
              <w:t>)</w:t>
            </w:r>
          </w:p>
        </w:tc>
      </w:tr>
      <w:tr>
        <w:trPr/>
        <w:tc>
          <w:tcPr>
            <w:tcW w:w="2966" w:type="dxa"/>
            <w:tcBorders/>
            <w:vAlign w:val="bottom"/>
          </w:tcPr>
          <w:p>
            <w:pPr>
              <w:pStyle w:val="TableContents"/>
              <w:bidi w:val="0"/>
              <w:spacing w:before="0" w:after="0"/>
              <w:ind w:left="180" w:right="0" w:hanging="0"/>
              <w:jc w:val="left"/>
              <w:rPr/>
            </w:pPr>
            <w:r>
              <w:rPr/>
              <w:t>DAC balance as of the valuation date</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795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pPr>
            <w:r>
              <w:rPr/>
              <w:t>$</w:t>
            </w:r>
          </w:p>
        </w:tc>
        <w:tc>
          <w:tcPr>
            <w:tcW w:w="727" w:type="dxa"/>
            <w:tcBorders>
              <w:bottom w:val="double" w:sz="8" w:space="0" w:color="000000"/>
            </w:tcBorders>
            <w:tcMar>
              <w:bottom w:w="28" w:type="dxa"/>
            </w:tcMar>
            <w:vAlign w:val="bottom"/>
          </w:tcPr>
          <w:p>
            <w:pPr>
              <w:pStyle w:val="TableContents"/>
              <w:bidi w:val="0"/>
              <w:spacing w:before="0" w:after="0"/>
              <w:jc w:val="right"/>
              <w:rPr/>
            </w:pPr>
            <w:r>
              <w:rPr/>
              <w:t>624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pPr>
            <w:r>
              <w:rPr/>
              <w:t>$</w:t>
            </w:r>
          </w:p>
        </w:tc>
        <w:tc>
          <w:tcPr>
            <w:tcW w:w="593" w:type="dxa"/>
            <w:tcBorders>
              <w:bottom w:val="double" w:sz="8" w:space="0" w:color="000000"/>
            </w:tcBorders>
            <w:tcMar>
              <w:bottom w:w="28" w:type="dxa"/>
            </w:tcMar>
            <w:vAlign w:val="bottom"/>
          </w:tcPr>
          <w:p>
            <w:pPr>
              <w:pStyle w:val="TableContents"/>
              <w:bidi w:val="0"/>
              <w:spacing w:before="0" w:after="0"/>
              <w:jc w:val="right"/>
              <w:rPr/>
            </w:pPr>
            <w:r>
              <w:rPr/>
              <w:t>198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536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602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2,755</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0" w:name="zf1ae0b6d42684a05bcf68bc946183dca"/>
      <w:bookmarkStart w:id="201" w:name="zf1ae0b6d42684a05bcf68bc946183dca"/>
      <w:bookmarkEnd w:id="201"/>
    </w:p>
    <w:tbl>
      <w:tblPr>
        <w:tblW w:w="10205" w:type="dxa"/>
        <w:jc w:val="left"/>
        <w:tblInd w:w="0" w:type="dxa"/>
        <w:tblLayout w:type="fixed"/>
        <w:tblCellMar>
          <w:top w:w="0" w:type="dxa"/>
          <w:left w:w="0" w:type="dxa"/>
          <w:bottom w:w="0" w:type="dxa"/>
          <w:right w:w="0" w:type="dxa"/>
        </w:tblCellMar>
      </w:tblPr>
      <w:tblGrid>
        <w:gridCol w:w="2966"/>
        <w:gridCol w:w="90"/>
        <w:gridCol w:w="257"/>
        <w:gridCol w:w="1010"/>
        <w:gridCol w:w="125"/>
        <w:gridCol w:w="90"/>
        <w:gridCol w:w="185"/>
        <w:gridCol w:w="727"/>
        <w:gridCol w:w="125"/>
        <w:gridCol w:w="90"/>
        <w:gridCol w:w="207"/>
        <w:gridCol w:w="593"/>
        <w:gridCol w:w="125"/>
        <w:gridCol w:w="90"/>
        <w:gridCol w:w="257"/>
        <w:gridCol w:w="1010"/>
        <w:gridCol w:w="125"/>
        <w:gridCol w:w="90"/>
        <w:gridCol w:w="170"/>
        <w:gridCol w:w="665"/>
        <w:gridCol w:w="125"/>
        <w:gridCol w:w="90"/>
        <w:gridCol w:w="170"/>
        <w:gridCol w:w="665"/>
        <w:gridCol w:w="158"/>
      </w:tblGrid>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91"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2"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General </w:t>
              <w:b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Inland </w:t>
            </w:r>
          </w:p>
          <w:p>
            <w:pPr>
              <w:pStyle w:val="TableContents"/>
              <w:bidi w:val="0"/>
              <w:spacing w:before="0" w:after="0"/>
              <w:jc w:val="center"/>
              <w:rPr>
                <w:b/>
              </w:rPr>
            </w:pPr>
            <w:r>
              <w:rPr>
                <w:b/>
              </w:rPr>
              <w:t>Marine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 xml:space="preserve">Physical </w:t>
            </w:r>
          </w:p>
          <w:p>
            <w:pPr>
              <w:pStyle w:val="TableContents"/>
              <w:bidi w:val="0"/>
              <w:spacing w:before="0" w:after="0"/>
              <w:jc w:val="center"/>
              <w:rPr>
                <w:b/>
              </w:rPr>
            </w:pPr>
            <w:r>
              <w:rPr>
                <w:b/>
              </w:rPr>
              <w:t>Damage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Surety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731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727" w:type="dxa"/>
            <w:tcBorders/>
            <w:shd w:fill="CCEEFF" w:val="clear"/>
            <w:vAlign w:val="bottom"/>
          </w:tcPr>
          <w:p>
            <w:pPr>
              <w:pStyle w:val="TableContents"/>
              <w:bidi w:val="0"/>
              <w:spacing w:before="0" w:after="0"/>
              <w:jc w:val="right"/>
              <w:rPr/>
            </w:pPr>
            <w:r>
              <w:rPr/>
              <w:t>585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pPr>
            <w:r>
              <w:rPr/>
              <w:t>$</w:t>
            </w:r>
          </w:p>
        </w:tc>
        <w:tc>
          <w:tcPr>
            <w:tcW w:w="593" w:type="dxa"/>
            <w:tcBorders/>
            <w:shd w:fill="CCEEFF" w:val="clear"/>
            <w:vAlign w:val="bottom"/>
          </w:tcPr>
          <w:p>
            <w:pPr>
              <w:pStyle w:val="TableContents"/>
              <w:bidi w:val="0"/>
              <w:spacing w:before="0" w:after="0"/>
              <w:jc w:val="right"/>
              <w:rPr/>
            </w:pPr>
            <w:r>
              <w:rPr/>
              <w:t>151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431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802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2,700</w:t>
            </w:r>
          </w:p>
        </w:tc>
        <w:tc>
          <w:tcPr>
            <w:tcW w:w="158" w:type="dxa"/>
            <w:tcBorders/>
            <w:shd w:fill="CCEEFF" w:val="clear"/>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2,139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0"/>
              <w:jc w:val="right"/>
              <w:rPr/>
            </w:pPr>
            <w:r>
              <w:rPr/>
              <w:t>1,875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0"/>
              <w:jc w:val="right"/>
              <w:rPr/>
            </w:pPr>
            <w:r>
              <w:rPr/>
              <w:t>551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1,555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2,378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8,498</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jc w:val="left"/>
              <w:rPr/>
            </w:pPr>
            <w:r>
              <w:rPr/>
              <w:t>Amortization of DAC</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(2,149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pPr>
            <w:r>
              <w:rPr/>
              <w:t>(1,827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3" w:type="dxa"/>
            <w:tcBorders>
              <w:bottom w:val="single" w:sz="12" w:space="0" w:color="000000"/>
            </w:tcBorders>
            <w:shd w:fill="CCEEFF" w:val="clear"/>
            <w:tcMar>
              <w:bottom w:w="28" w:type="dxa"/>
            </w:tcMar>
            <w:vAlign w:val="bottom"/>
          </w:tcPr>
          <w:p>
            <w:pPr>
              <w:pStyle w:val="TableContents"/>
              <w:bidi w:val="0"/>
              <w:spacing w:before="0" w:after="0"/>
              <w:jc w:val="right"/>
              <w:rPr/>
            </w:pPr>
            <w:r>
              <w:rPr/>
              <w:t>(516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(1,462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(2,378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(8,332</w:t>
            </w:r>
          </w:p>
        </w:tc>
        <w:tc>
          <w:tcPr>
            <w:tcW w:w="158" w:type="dxa"/>
            <w:tcBorders/>
            <w:shd w:fill="CCEEFF" w:val="clear"/>
            <w:vAlign w:val="bottom"/>
          </w:tcPr>
          <w:p>
            <w:pPr>
              <w:pStyle w:val="TableContents"/>
              <w:bidi w:val="0"/>
              <w:spacing w:before="0" w:after="0"/>
              <w:jc w:val="left"/>
              <w:rPr/>
            </w:pPr>
            <w:r>
              <w:rPr/>
              <w:t>)</w:t>
            </w:r>
          </w:p>
        </w:tc>
      </w:tr>
      <w:tr>
        <w:trPr/>
        <w:tc>
          <w:tcPr>
            <w:tcW w:w="2966" w:type="dxa"/>
            <w:tcBorders/>
            <w:vAlign w:val="bottom"/>
          </w:tcPr>
          <w:p>
            <w:pPr>
              <w:pStyle w:val="TableContents"/>
              <w:bidi w:val="0"/>
              <w:spacing w:before="0" w:after="0"/>
              <w:ind w:left="180" w:right="0" w:hanging="0"/>
              <w:jc w:val="left"/>
              <w:rPr/>
            </w:pPr>
            <w:r>
              <w:rPr/>
              <w:t>DAC balance as of the valuation date</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721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pPr>
            <w:r>
              <w:rPr/>
              <w:t>$</w:t>
            </w:r>
          </w:p>
        </w:tc>
        <w:tc>
          <w:tcPr>
            <w:tcW w:w="727" w:type="dxa"/>
            <w:tcBorders>
              <w:bottom w:val="double" w:sz="8" w:space="0" w:color="000000"/>
            </w:tcBorders>
            <w:tcMar>
              <w:bottom w:w="28" w:type="dxa"/>
            </w:tcMar>
            <w:vAlign w:val="bottom"/>
          </w:tcPr>
          <w:p>
            <w:pPr>
              <w:pStyle w:val="TableContents"/>
              <w:bidi w:val="0"/>
              <w:spacing w:before="0" w:after="0"/>
              <w:jc w:val="right"/>
              <w:rPr/>
            </w:pPr>
            <w:r>
              <w:rPr/>
              <w:t>633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pPr>
            <w:r>
              <w:rPr/>
              <w:t>$</w:t>
            </w:r>
          </w:p>
        </w:tc>
        <w:tc>
          <w:tcPr>
            <w:tcW w:w="593" w:type="dxa"/>
            <w:tcBorders>
              <w:bottom w:val="double" w:sz="8" w:space="0" w:color="000000"/>
            </w:tcBorders>
            <w:tcMar>
              <w:bottom w:w="28" w:type="dxa"/>
            </w:tcMar>
            <w:vAlign w:val="bottom"/>
          </w:tcPr>
          <w:p>
            <w:pPr>
              <w:pStyle w:val="TableContents"/>
              <w:bidi w:val="0"/>
              <w:spacing w:before="0" w:after="0"/>
              <w:jc w:val="right"/>
              <w:rPr/>
            </w:pPr>
            <w:r>
              <w:rPr/>
              <w:t>186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802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2,866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525"/>
        <w:jc w:val="both"/>
        <w:rPr>
          <w:rFonts w:ascii="Times New Roman" w:hAnsi="Times New Roman"/>
          <w:sz w:val="20"/>
        </w:rPr>
      </w:pPr>
      <w:r>
        <w:rPr>
          <w:rFonts w:ascii="Times New Roman" w:hAnsi="Times New Roman"/>
          <w:sz w:val="20"/>
        </w:rPr>
        <w:t xml:space="preserve">The following table presents a rollforward of deferred policy acquisition costs for Bankers Fidelity by line of business for the years ended December 31, 2025 and 2024: </w:t>
      </w:r>
    </w:p>
    <w:p>
      <w:pPr>
        <w:pStyle w:val="TextBody"/>
        <w:bidi w:val="0"/>
        <w:spacing w:before="0" w:after="0"/>
        <w:ind w:left="0" w:right="0" w:firstLine="525"/>
        <w:jc w:val="both"/>
        <w:rPr/>
      </w:pPr>
      <w:r>
        <w:rPr/>
      </w:r>
    </w:p>
    <w:p>
      <w:pPr>
        <w:pStyle w:val="Normal"/>
        <w:bidi w:val="0"/>
        <w:spacing w:before="0" w:after="0"/>
        <w:jc w:val="left"/>
        <w:rPr>
          <w:sz w:val="4"/>
          <w:szCs w:val="4"/>
        </w:rPr>
      </w:pPr>
      <w:r>
        <w:rPr>
          <w:sz w:val="4"/>
          <w:szCs w:val="4"/>
        </w:rPr>
      </w:r>
      <w:bookmarkStart w:id="202" w:name="z5a18ca8c14ca44739017a44a646ea889"/>
      <w:bookmarkStart w:id="203" w:name="z5a18ca8c14ca44739017a44a646ea889"/>
      <w:bookmarkEnd w:id="203"/>
    </w:p>
    <w:tbl>
      <w:tblPr>
        <w:tblW w:w="10205" w:type="dxa"/>
        <w:jc w:val="left"/>
        <w:tblInd w:w="0" w:type="dxa"/>
        <w:tblLayout w:type="fixed"/>
        <w:tblCellMar>
          <w:top w:w="0" w:type="dxa"/>
          <w:left w:w="0" w:type="dxa"/>
          <w:bottom w:w="0" w:type="dxa"/>
          <w:right w:w="0" w:type="dxa"/>
        </w:tblCellMar>
      </w:tblPr>
      <w:tblGrid>
        <w:gridCol w:w="2456"/>
        <w:gridCol w:w="90"/>
        <w:gridCol w:w="251"/>
        <w:gridCol w:w="871"/>
        <w:gridCol w:w="125"/>
        <w:gridCol w:w="90"/>
        <w:gridCol w:w="191"/>
        <w:gridCol w:w="802"/>
        <w:gridCol w:w="125"/>
        <w:gridCol w:w="90"/>
        <w:gridCol w:w="244"/>
        <w:gridCol w:w="1021"/>
        <w:gridCol w:w="125"/>
        <w:gridCol w:w="90"/>
        <w:gridCol w:w="228"/>
        <w:gridCol w:w="899"/>
        <w:gridCol w:w="125"/>
        <w:gridCol w:w="90"/>
        <w:gridCol w:w="210"/>
        <w:gridCol w:w="826"/>
        <w:gridCol w:w="125"/>
        <w:gridCol w:w="90"/>
        <w:gridCol w:w="170"/>
        <w:gridCol w:w="710"/>
        <w:gridCol w:w="161"/>
      </w:tblGrid>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498"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3"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2"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Group </w:t>
            </w:r>
          </w:p>
          <w:p>
            <w:pPr>
              <w:pStyle w:val="TableContents"/>
              <w:bidi w:val="0"/>
              <w:spacing w:before="0" w:after="0"/>
              <w:jc w:val="center"/>
              <w:rPr>
                <w:b/>
              </w:rPr>
            </w:pPr>
            <w:r>
              <w:rPr>
                <w:b/>
              </w:rPr>
              <w:t>Whole 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Medicare </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Other </w:t>
            </w:r>
          </w:p>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 xml:space="preserve">Accident </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6"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Group</w:t>
            </w:r>
          </w:p>
          <w:p>
            <w:pPr>
              <w:pStyle w:val="TableContents"/>
              <w:bidi w:val="0"/>
              <w:spacing w:before="0" w:after="0"/>
              <w:jc w:val="center"/>
              <w:rPr>
                <w:b/>
              </w:rPr>
            </w:pPr>
            <w:r>
              <w:rPr>
                <w:b/>
              </w:rPr>
              <w:t xml:space="preserve">Accident </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3"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456"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pPr>
            <w:r>
              <w:rPr/>
              <w:t>$</w:t>
            </w:r>
          </w:p>
        </w:tc>
        <w:tc>
          <w:tcPr>
            <w:tcW w:w="871" w:type="dxa"/>
            <w:tcBorders/>
            <w:shd w:fill="CCEEFF" w:val="clear"/>
            <w:vAlign w:val="bottom"/>
          </w:tcPr>
          <w:p>
            <w:pPr>
              <w:pStyle w:val="TableContents"/>
              <w:bidi w:val="0"/>
              <w:spacing w:before="0" w:after="0"/>
              <w:jc w:val="right"/>
              <w:rPr/>
            </w:pPr>
            <w:r>
              <w:rPr/>
              <w:t>6,258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pPr>
            <w:r>
              <w:rPr/>
              <w:t>$</w:t>
            </w:r>
          </w:p>
        </w:tc>
        <w:tc>
          <w:tcPr>
            <w:tcW w:w="802" w:type="dxa"/>
            <w:tcBorders/>
            <w:shd w:fill="CCEEFF" w:val="clear"/>
            <w:vAlign w:val="bottom"/>
          </w:tcPr>
          <w:p>
            <w:pPr>
              <w:pStyle w:val="TableContents"/>
              <w:bidi w:val="0"/>
              <w:spacing w:before="0" w:after="0"/>
              <w:jc w:val="right"/>
              <w:rPr/>
            </w:pPr>
            <w:r>
              <w:rPr/>
              <w:t>10,788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pPr>
            <w:r>
              <w:rPr/>
              <w:t>$</w:t>
            </w:r>
          </w:p>
        </w:tc>
        <w:tc>
          <w:tcPr>
            <w:tcW w:w="1021" w:type="dxa"/>
            <w:tcBorders/>
            <w:shd w:fill="CCEEFF" w:val="clear"/>
            <w:vAlign w:val="bottom"/>
          </w:tcPr>
          <w:p>
            <w:pPr>
              <w:pStyle w:val="TableContents"/>
              <w:bidi w:val="0"/>
              <w:spacing w:before="0" w:after="0"/>
              <w:jc w:val="right"/>
              <w:rPr/>
            </w:pPr>
            <w:r>
              <w:rPr/>
              <w:t>17,368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899" w:type="dxa"/>
            <w:tcBorders/>
            <w:shd w:fill="CCEEFF" w:val="clear"/>
            <w:vAlign w:val="bottom"/>
          </w:tcPr>
          <w:p>
            <w:pPr>
              <w:pStyle w:val="TableContents"/>
              <w:bidi w:val="0"/>
              <w:spacing w:before="0" w:after="0"/>
              <w:jc w:val="right"/>
              <w:rPr/>
            </w:pPr>
            <w:r>
              <w:rPr/>
              <w:t>3,958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pPr>
            <w:r>
              <w:rPr/>
              <w:t>$</w:t>
            </w:r>
          </w:p>
        </w:tc>
        <w:tc>
          <w:tcPr>
            <w:tcW w:w="826" w:type="dxa"/>
            <w:tcBorders/>
            <w:shd w:fill="CCEEFF" w:val="clear"/>
            <w:vAlign w:val="bottom"/>
          </w:tcPr>
          <w:p>
            <w:pPr>
              <w:pStyle w:val="TableContents"/>
              <w:bidi w:val="0"/>
              <w:spacing w:before="0" w:after="0"/>
              <w:jc w:val="right"/>
              <w:rPr/>
            </w:pPr>
            <w:r>
              <w:rPr/>
              <w:t>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38,378</w:t>
            </w:r>
          </w:p>
        </w:tc>
        <w:tc>
          <w:tcPr>
            <w:tcW w:w="161" w:type="dxa"/>
            <w:tcBorders/>
            <w:shd w:fill="CCEEFF" w:val="clear"/>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0"/>
              <w:jc w:val="right"/>
              <w:rPr/>
            </w:pPr>
            <w:r>
              <w:rPr/>
              <w:t>514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0"/>
              <w:jc w:val="right"/>
              <w:rPr/>
            </w:pPr>
            <w:r>
              <w:rPr/>
              <w:t>3,440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pPr>
            <w:r>
              <w:rPr/>
              <w:t>3,270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pPr>
            <w:r>
              <w:rPr/>
              <w:t>1,521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pPr>
            <w:r>
              <w:rPr/>
              <w:t>1,553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10,298</w:t>
            </w:r>
          </w:p>
        </w:tc>
        <w:tc>
          <w:tcPr>
            <w:tcW w:w="161" w:type="dxa"/>
            <w:tcBorders/>
            <w:vAlign w:val="bottom"/>
          </w:tcPr>
          <w:p>
            <w:pPr>
              <w:pStyle w:val="TableContents"/>
              <w:bidi w:val="0"/>
              <w:spacing w:before="0" w:after="283"/>
              <w:jc w:val="left"/>
              <w:rPr/>
            </w:pPr>
            <w:r>
              <w:rPr/>
              <w:t> </w:t>
            </w:r>
          </w:p>
        </w:tc>
      </w:tr>
      <w:tr>
        <w:trPr/>
        <w:tc>
          <w:tcPr>
            <w:tcW w:w="245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0"/>
              <w:jc w:val="left"/>
              <w:rPr/>
            </w:pPr>
            <w:r>
              <w:rPr/>
              <w:t>Amortization of DAC</w:t>
            </w:r>
          </w:p>
        </w:tc>
        <w:tc>
          <w:tcPr>
            <w:tcW w:w="90" w:type="dxa"/>
            <w:tcBorders/>
            <w:vAlign w:val="bottom"/>
          </w:tcPr>
          <w:p>
            <w:pPr>
              <w:pStyle w:val="TableContents"/>
              <w:bidi w:val="0"/>
              <w:spacing w:before="0" w:after="283"/>
              <w:jc w:val="lef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1" w:type="dxa"/>
            <w:tcBorders>
              <w:bottom w:val="single" w:sz="12" w:space="0" w:color="000000"/>
            </w:tcBorders>
            <w:tcMar>
              <w:bottom w:w="28" w:type="dxa"/>
            </w:tcMar>
            <w:vAlign w:val="bottom"/>
          </w:tcPr>
          <w:p>
            <w:pPr>
              <w:pStyle w:val="TableContents"/>
              <w:bidi w:val="0"/>
              <w:spacing w:before="0" w:after="0"/>
              <w:jc w:val="right"/>
              <w:rPr/>
            </w:pPr>
            <w:r>
              <w:rPr/>
              <w:t>(601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802" w:type="dxa"/>
            <w:tcBorders>
              <w:bottom w:val="single" w:sz="12" w:space="0" w:color="000000"/>
            </w:tcBorders>
            <w:tcMar>
              <w:bottom w:w="28" w:type="dxa"/>
            </w:tcMar>
            <w:vAlign w:val="bottom"/>
          </w:tcPr>
          <w:p>
            <w:pPr>
              <w:pStyle w:val="TableContents"/>
              <w:bidi w:val="0"/>
              <w:spacing w:before="0" w:after="0"/>
              <w:jc w:val="right"/>
              <w:rPr/>
            </w:pPr>
            <w:r>
              <w:rPr/>
              <w:t>(2,090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tcMar>
              <w:bottom w:w="28" w:type="dxa"/>
            </w:tcMar>
            <w:vAlign w:val="bottom"/>
          </w:tcPr>
          <w:p>
            <w:pPr>
              <w:pStyle w:val="TableContents"/>
              <w:bidi w:val="0"/>
              <w:spacing w:before="0" w:after="0"/>
              <w:jc w:val="right"/>
              <w:rPr/>
            </w:pPr>
            <w:r>
              <w:rPr/>
              <w:t>(3,415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pPr>
            <w:r>
              <w:rPr/>
              <w:t>(1,451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pPr>
            <w:r>
              <w:rPr/>
              <w:t>(1,556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(9,113</w:t>
            </w:r>
          </w:p>
        </w:tc>
        <w:tc>
          <w:tcPr>
            <w:tcW w:w="161" w:type="dxa"/>
            <w:tcBorders/>
            <w:vAlign w:val="bottom"/>
          </w:tcPr>
          <w:p>
            <w:pPr>
              <w:pStyle w:val="TableContents"/>
              <w:bidi w:val="0"/>
              <w:spacing w:before="0" w:after="0"/>
              <w:jc w:val="left"/>
              <w:rPr/>
            </w:pPr>
            <w:r>
              <w:rPr/>
              <w:t>)</w:t>
            </w:r>
          </w:p>
        </w:tc>
      </w:tr>
      <w:tr>
        <w:trPr/>
        <w:tc>
          <w:tcPr>
            <w:tcW w:w="2456" w:type="dxa"/>
            <w:tcBorders/>
            <w:shd w:fill="CCEEFF" w:val="clear"/>
            <w:vAlign w:val="bottom"/>
          </w:tcPr>
          <w:p>
            <w:pPr>
              <w:pStyle w:val="TableContents"/>
              <w:bidi w:val="0"/>
              <w:spacing w:before="0" w:after="0"/>
              <w:ind w:left="180" w:right="0" w:hanging="0"/>
              <w:jc w:val="left"/>
              <w:rPr/>
            </w:pPr>
            <w:r>
              <w:rPr/>
              <w:t>DAC balance as of the valuation date</w:t>
            </w:r>
          </w:p>
        </w:tc>
        <w:tc>
          <w:tcPr>
            <w:tcW w:w="90" w:type="dxa"/>
            <w:tcBorders/>
            <w:shd w:fill="CCEEFF" w:val="clear"/>
            <w:vAlign w:val="bottom"/>
          </w:tcPr>
          <w:p>
            <w:pPr>
              <w:pStyle w:val="TableContents"/>
              <w:bidi w:val="0"/>
              <w:spacing w:before="0" w:after="283"/>
              <w:jc w:val="left"/>
              <w:rPr/>
            </w:pPr>
            <w:r>
              <w:rPr/>
              <w:t> </w:t>
            </w:r>
          </w:p>
        </w:tc>
        <w:tc>
          <w:tcPr>
            <w:tcW w:w="25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1" w:type="dxa"/>
            <w:tcBorders>
              <w:bottom w:val="double" w:sz="8" w:space="0" w:color="000000"/>
            </w:tcBorders>
            <w:shd w:fill="CCEEFF" w:val="clear"/>
            <w:tcMar>
              <w:bottom w:w="28" w:type="dxa"/>
            </w:tcMar>
            <w:vAlign w:val="bottom"/>
          </w:tcPr>
          <w:p>
            <w:pPr>
              <w:pStyle w:val="TableContents"/>
              <w:bidi w:val="0"/>
              <w:spacing w:before="0" w:after="0"/>
              <w:jc w:val="right"/>
              <w:rPr/>
            </w:pPr>
            <w:r>
              <w:rPr/>
              <w:t>6,171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2" w:type="dxa"/>
            <w:tcBorders>
              <w:bottom w:val="double" w:sz="8" w:space="0" w:color="000000"/>
            </w:tcBorders>
            <w:shd w:fill="CCEEFF" w:val="clear"/>
            <w:tcMar>
              <w:bottom w:w="28" w:type="dxa"/>
            </w:tcMar>
            <w:vAlign w:val="bottom"/>
          </w:tcPr>
          <w:p>
            <w:pPr>
              <w:pStyle w:val="TableContents"/>
              <w:bidi w:val="0"/>
              <w:spacing w:before="0" w:after="0"/>
              <w:jc w:val="right"/>
              <w:rPr/>
            </w:pPr>
            <w:r>
              <w:rPr/>
              <w:t>12,138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21" w:type="dxa"/>
            <w:tcBorders>
              <w:bottom w:val="double" w:sz="8" w:space="0" w:color="000000"/>
            </w:tcBorders>
            <w:shd w:fill="CCEEFF" w:val="clear"/>
            <w:tcMar>
              <w:bottom w:w="28" w:type="dxa"/>
            </w:tcMar>
            <w:vAlign w:val="bottom"/>
          </w:tcPr>
          <w:p>
            <w:pPr>
              <w:pStyle w:val="TableContents"/>
              <w:bidi w:val="0"/>
              <w:spacing w:before="0" w:after="0"/>
              <w:jc w:val="right"/>
              <w:rPr/>
            </w:pPr>
            <w:r>
              <w:rPr/>
              <w:t>17,223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pPr>
            <w:r>
              <w:rPr/>
              <w:t>4,028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6" w:type="dxa"/>
            <w:tcBorders>
              <w:bottom w:val="double" w:sz="8" w:space="0" w:color="000000"/>
            </w:tcBorders>
            <w:shd w:fill="CCEEFF" w:val="clear"/>
            <w:tcMar>
              <w:bottom w:w="28" w:type="dxa"/>
            </w:tcMar>
            <w:vAlign w:val="bottom"/>
          </w:tcPr>
          <w:p>
            <w:pPr>
              <w:pStyle w:val="TableContents"/>
              <w:bidi w:val="0"/>
              <w:spacing w:before="0" w:after="0"/>
              <w:jc w:val="right"/>
              <w:rPr/>
            </w:pPr>
            <w:r>
              <w:rPr/>
              <w:t>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39,563</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4" w:name="zd808366d17c3438891a85c2cdac34a67"/>
      <w:bookmarkStart w:id="205" w:name="zd808366d17c3438891a85c2cdac34a67"/>
      <w:bookmarkEnd w:id="205"/>
    </w:p>
    <w:tbl>
      <w:tblPr>
        <w:tblW w:w="10205" w:type="dxa"/>
        <w:jc w:val="left"/>
        <w:tblInd w:w="0" w:type="dxa"/>
        <w:tblLayout w:type="fixed"/>
        <w:tblCellMar>
          <w:top w:w="0" w:type="dxa"/>
          <w:left w:w="0" w:type="dxa"/>
          <w:bottom w:w="0" w:type="dxa"/>
          <w:right w:w="0" w:type="dxa"/>
        </w:tblCellMar>
      </w:tblPr>
      <w:tblGrid>
        <w:gridCol w:w="2395"/>
        <w:gridCol w:w="90"/>
        <w:gridCol w:w="250"/>
        <w:gridCol w:w="870"/>
        <w:gridCol w:w="125"/>
        <w:gridCol w:w="90"/>
        <w:gridCol w:w="190"/>
        <w:gridCol w:w="797"/>
        <w:gridCol w:w="125"/>
        <w:gridCol w:w="90"/>
        <w:gridCol w:w="244"/>
        <w:gridCol w:w="1021"/>
        <w:gridCol w:w="125"/>
        <w:gridCol w:w="90"/>
        <w:gridCol w:w="251"/>
        <w:gridCol w:w="875"/>
        <w:gridCol w:w="125"/>
        <w:gridCol w:w="90"/>
        <w:gridCol w:w="209"/>
        <w:gridCol w:w="822"/>
        <w:gridCol w:w="125"/>
        <w:gridCol w:w="90"/>
        <w:gridCol w:w="170"/>
        <w:gridCol w:w="785"/>
        <w:gridCol w:w="161"/>
      </w:tblGrid>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559"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559" w:type="dxa"/>
            <w:gridSpan w:val="22"/>
            <w:tcBorders/>
            <w:vAlign w:val="bottom"/>
          </w:tcPr>
          <w:p>
            <w:pPr>
              <w:pStyle w:val="TableContents"/>
              <w:bidi w:val="0"/>
              <w:spacing w:before="0" w:after="0"/>
              <w:jc w:val="center"/>
              <w:rPr/>
            </w:pPr>
            <w:r>
              <w:rPr/>
              <w:t>(Restated)</w:t>
            </w:r>
          </w:p>
        </w:tc>
        <w:tc>
          <w:tcPr>
            <w:tcW w:w="161" w:type="dxa"/>
            <w:tcBorders/>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Group </w:t>
            </w:r>
          </w:p>
          <w:p>
            <w:pPr>
              <w:pStyle w:val="TableContents"/>
              <w:bidi w:val="0"/>
              <w:spacing w:before="0" w:after="0"/>
              <w:jc w:val="center"/>
              <w:rPr>
                <w:b/>
              </w:rPr>
            </w:pPr>
            <w:r>
              <w:rPr>
                <w:b/>
              </w:rPr>
              <w:t>Whole 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Medicare </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6"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Other </w:t>
            </w:r>
          </w:p>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Accident</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Group </w:t>
            </w:r>
          </w:p>
          <w:p>
            <w:pPr>
              <w:pStyle w:val="TableContents"/>
              <w:bidi w:val="0"/>
              <w:spacing w:before="0" w:after="0"/>
              <w:jc w:val="center"/>
              <w:rPr>
                <w:b/>
              </w:rPr>
            </w:pPr>
            <w:r>
              <w:rPr>
                <w:b/>
              </w:rPr>
              <w:t xml:space="preserve">Accident </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395"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0"/>
              <w:jc w:val="left"/>
              <w:rPr/>
            </w:pPr>
            <w:r>
              <w:rPr/>
              <w:t>$</w:t>
            </w:r>
          </w:p>
        </w:tc>
        <w:tc>
          <w:tcPr>
            <w:tcW w:w="870" w:type="dxa"/>
            <w:tcBorders/>
            <w:shd w:fill="CCEEFF" w:val="clear"/>
            <w:vAlign w:val="bottom"/>
          </w:tcPr>
          <w:p>
            <w:pPr>
              <w:pStyle w:val="TableContents"/>
              <w:bidi w:val="0"/>
              <w:spacing w:before="0" w:after="0"/>
              <w:jc w:val="right"/>
              <w:rPr/>
            </w:pPr>
            <w:r>
              <w:rPr/>
              <w:t>6,428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pPr>
            <w:r>
              <w:rPr/>
              <w:t>$</w:t>
            </w:r>
          </w:p>
        </w:tc>
        <w:tc>
          <w:tcPr>
            <w:tcW w:w="797" w:type="dxa"/>
            <w:tcBorders/>
            <w:shd w:fill="CCEEFF" w:val="clear"/>
            <w:vAlign w:val="bottom"/>
          </w:tcPr>
          <w:p>
            <w:pPr>
              <w:pStyle w:val="TableContents"/>
              <w:bidi w:val="0"/>
              <w:spacing w:before="0" w:after="0"/>
              <w:jc w:val="right"/>
              <w:rPr/>
            </w:pPr>
            <w:r>
              <w:rPr/>
              <w:t>8,435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pPr>
            <w:r>
              <w:rPr/>
              <w:t>$</w:t>
            </w:r>
          </w:p>
        </w:tc>
        <w:tc>
          <w:tcPr>
            <w:tcW w:w="1021"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pPr>
            <w:r>
              <w:rPr/>
              <w:t>$</w:t>
            </w:r>
          </w:p>
        </w:tc>
        <w:tc>
          <w:tcPr>
            <w:tcW w:w="875" w:type="dxa"/>
            <w:tcBorders/>
            <w:shd w:fill="CCEEFF" w:val="clear"/>
            <w:vAlign w:val="bottom"/>
          </w:tcPr>
          <w:p>
            <w:pPr>
              <w:pStyle w:val="TableContents"/>
              <w:bidi w:val="0"/>
              <w:spacing w:before="0" w:after="0"/>
              <w:jc w:val="right"/>
              <w:rPr/>
            </w:pPr>
            <w:r>
              <w:rPr/>
              <w:t>3,527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37,856</w:t>
            </w:r>
          </w:p>
        </w:tc>
        <w:tc>
          <w:tcPr>
            <w:tcW w:w="161" w:type="dxa"/>
            <w:tcBorders/>
            <w:shd w:fill="CCEEFF" w:val="clear"/>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0"/>
              <w:jc w:val="right"/>
              <w:rPr/>
            </w:pPr>
            <w:r>
              <w:rPr/>
              <w:t>376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pPr>
            <w:r>
              <w:rPr/>
              <w:t>3,818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pPr>
            <w:r>
              <w:rPr/>
              <w:t>1,985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1,229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3,333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10,741</w:t>
            </w:r>
          </w:p>
        </w:tc>
        <w:tc>
          <w:tcPr>
            <w:tcW w:w="161" w:type="dxa"/>
            <w:tcBorders/>
            <w:vAlign w:val="bottom"/>
          </w:tcPr>
          <w:p>
            <w:pPr>
              <w:pStyle w:val="TableContents"/>
              <w:bidi w:val="0"/>
              <w:spacing w:before="0" w:after="283"/>
              <w:jc w:val="left"/>
              <w:rPr/>
            </w:pPr>
            <w:r>
              <w:rPr/>
              <w:t> </w:t>
            </w:r>
          </w:p>
        </w:tc>
      </w:tr>
      <w:tr>
        <w:trPr/>
        <w:tc>
          <w:tcPr>
            <w:tcW w:w="2395" w:type="dxa"/>
            <w:tcBorders/>
            <w:shd w:fill="CCEEFF" w:val="clear"/>
            <w:vAlign w:val="bottom"/>
          </w:tcPr>
          <w:p>
            <w:pPr>
              <w:pStyle w:val="TableContents"/>
              <w:bidi w:val="0"/>
              <w:spacing w:before="0" w:after="0"/>
              <w:jc w:val="left"/>
              <w:rPr/>
            </w:pPr>
            <w:r>
              <w:rPr/>
              <w:t>Amortization of DAC</w:t>
            </w:r>
          </w:p>
        </w:tc>
        <w:tc>
          <w:tcPr>
            <w:tcW w:w="90" w:type="dxa"/>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bottom"/>
          </w:tcPr>
          <w:p>
            <w:pPr>
              <w:pStyle w:val="TableContents"/>
              <w:bidi w:val="0"/>
              <w:spacing w:before="0" w:after="0"/>
              <w:jc w:val="right"/>
              <w:rPr/>
            </w:pPr>
            <w:r>
              <w:rPr/>
              <w:t>(546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7" w:type="dxa"/>
            <w:tcBorders>
              <w:bottom w:val="single" w:sz="12" w:space="0" w:color="000000"/>
            </w:tcBorders>
            <w:shd w:fill="CCEEFF" w:val="clear"/>
            <w:tcMar>
              <w:bottom w:w="28" w:type="dxa"/>
            </w:tcMar>
            <w:vAlign w:val="bottom"/>
          </w:tcPr>
          <w:p>
            <w:pPr>
              <w:pStyle w:val="TableContents"/>
              <w:bidi w:val="0"/>
              <w:spacing w:before="0" w:after="0"/>
              <w:jc w:val="right"/>
              <w:rPr/>
            </w:pPr>
            <w:r>
              <w:rPr/>
              <w:t>(1,465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pPr>
            <w:r>
              <w:rPr/>
              <w:t>(4,060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(798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(3,350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(10,219</w:t>
            </w:r>
          </w:p>
        </w:tc>
        <w:tc>
          <w:tcPr>
            <w:tcW w:w="161" w:type="dxa"/>
            <w:tcBorders/>
            <w:shd w:fill="CCEEFF" w:val="clear"/>
            <w:vAlign w:val="bottom"/>
          </w:tcPr>
          <w:p>
            <w:pPr>
              <w:pStyle w:val="TableContents"/>
              <w:bidi w:val="0"/>
              <w:spacing w:before="0" w:after="0"/>
              <w:jc w:val="left"/>
              <w:rPr/>
            </w:pPr>
            <w:r>
              <w:rPr/>
              <w:t>)</w:t>
            </w:r>
          </w:p>
        </w:tc>
      </w:tr>
      <w:tr>
        <w:trPr/>
        <w:tc>
          <w:tcPr>
            <w:tcW w:w="2395" w:type="dxa"/>
            <w:tcBorders/>
            <w:vAlign w:val="bottom"/>
          </w:tcPr>
          <w:p>
            <w:pPr>
              <w:pStyle w:val="TableContents"/>
              <w:bidi w:val="0"/>
              <w:spacing w:before="0" w:after="0"/>
              <w:ind w:left="180" w:right="0" w:hanging="0"/>
              <w:jc w:val="left"/>
              <w:rPr/>
            </w:pPr>
            <w:r>
              <w:rPr/>
              <w:t>DAC balance as of the valuation date</w:t>
            </w:r>
          </w:p>
        </w:tc>
        <w:tc>
          <w:tcPr>
            <w:tcW w:w="90" w:type="dxa"/>
            <w:tcBorders/>
            <w:vAlign w:val="bottom"/>
          </w:tcPr>
          <w:p>
            <w:pPr>
              <w:pStyle w:val="TableContents"/>
              <w:bidi w:val="0"/>
              <w:spacing w:before="0" w:after="283"/>
              <w:jc w:val="left"/>
              <w:rPr/>
            </w:pPr>
            <w:r>
              <w:rPr/>
              <w:t> </w:t>
            </w:r>
          </w:p>
        </w:tc>
        <w:tc>
          <w:tcPr>
            <w:tcW w:w="250" w:type="dxa"/>
            <w:tcBorders>
              <w:bottom w:val="double" w:sz="8" w:space="0" w:color="000000"/>
            </w:tcBorders>
            <w:tcMar>
              <w:bottom w:w="28" w:type="dxa"/>
            </w:tcMar>
            <w:vAlign w:val="bottom"/>
          </w:tcPr>
          <w:p>
            <w:pPr>
              <w:pStyle w:val="TableContents"/>
              <w:bidi w:val="0"/>
              <w:spacing w:before="0" w:after="0"/>
              <w:jc w:val="left"/>
              <w:rPr/>
            </w:pPr>
            <w:r>
              <w:rPr/>
              <w:t>$</w:t>
            </w:r>
          </w:p>
        </w:tc>
        <w:tc>
          <w:tcPr>
            <w:tcW w:w="870" w:type="dxa"/>
            <w:tcBorders>
              <w:bottom w:val="double" w:sz="8" w:space="0" w:color="000000"/>
            </w:tcBorders>
            <w:tcMar>
              <w:bottom w:w="28" w:type="dxa"/>
            </w:tcMar>
            <w:vAlign w:val="bottom"/>
          </w:tcPr>
          <w:p>
            <w:pPr>
              <w:pStyle w:val="TableContents"/>
              <w:bidi w:val="0"/>
              <w:spacing w:before="0" w:after="0"/>
              <w:jc w:val="right"/>
              <w:rPr/>
            </w:pPr>
            <w:r>
              <w:rPr/>
              <w:t>6,258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pPr>
            <w:r>
              <w:rPr/>
              <w:t>$</w:t>
            </w:r>
          </w:p>
        </w:tc>
        <w:tc>
          <w:tcPr>
            <w:tcW w:w="797" w:type="dxa"/>
            <w:tcBorders>
              <w:bottom w:val="double" w:sz="8" w:space="0" w:color="000000"/>
            </w:tcBorders>
            <w:tcMar>
              <w:bottom w:w="28" w:type="dxa"/>
            </w:tcMar>
            <w:vAlign w:val="bottom"/>
          </w:tcPr>
          <w:p>
            <w:pPr>
              <w:pStyle w:val="TableContents"/>
              <w:bidi w:val="0"/>
              <w:spacing w:before="0" w:after="0"/>
              <w:jc w:val="right"/>
              <w:rPr/>
            </w:pPr>
            <w:r>
              <w:rPr/>
              <w:t>10,788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pPr>
            <w:r>
              <w:rPr/>
              <w:t>$</w:t>
            </w:r>
          </w:p>
        </w:tc>
        <w:tc>
          <w:tcPr>
            <w:tcW w:w="1021" w:type="dxa"/>
            <w:tcBorders>
              <w:bottom w:val="double" w:sz="8" w:space="0" w:color="000000"/>
            </w:tcBorders>
            <w:tcMar>
              <w:bottom w:w="28" w:type="dxa"/>
            </w:tcMar>
            <w:vAlign w:val="bottom"/>
          </w:tcPr>
          <w:p>
            <w:pPr>
              <w:pStyle w:val="TableContents"/>
              <w:bidi w:val="0"/>
              <w:spacing w:before="0" w:after="0"/>
              <w:jc w:val="right"/>
              <w:rPr/>
            </w:pPr>
            <w:r>
              <w:rPr/>
              <w:t>17,368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bottom w:val="double" w:sz="8" w:space="0" w:color="000000"/>
            </w:tcBorders>
            <w:tcMar>
              <w:bottom w:w="28" w:type="dxa"/>
            </w:tcMar>
            <w:vAlign w:val="bottom"/>
          </w:tcPr>
          <w:p>
            <w:pPr>
              <w:pStyle w:val="TableContents"/>
              <w:bidi w:val="0"/>
              <w:spacing w:before="0" w:after="0"/>
              <w:jc w:val="left"/>
              <w:rPr/>
            </w:pPr>
            <w:r>
              <w:rPr/>
              <w:t>$</w:t>
            </w:r>
          </w:p>
        </w:tc>
        <w:tc>
          <w:tcPr>
            <w:tcW w:w="875" w:type="dxa"/>
            <w:tcBorders>
              <w:bottom w:val="double" w:sz="8" w:space="0" w:color="000000"/>
            </w:tcBorders>
            <w:tcMar>
              <w:bottom w:w="28" w:type="dxa"/>
            </w:tcMar>
            <w:vAlign w:val="bottom"/>
          </w:tcPr>
          <w:p>
            <w:pPr>
              <w:pStyle w:val="TableContents"/>
              <w:bidi w:val="0"/>
              <w:spacing w:before="0" w:after="0"/>
              <w:jc w:val="right"/>
              <w:rPr/>
            </w:pPr>
            <w:r>
              <w:rPr/>
              <w:t>3,958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bottom w:val="double" w:sz="8" w:space="0" w:color="000000"/>
            </w:tcBorders>
            <w:tcMar>
              <w:bottom w:w="28" w:type="dxa"/>
            </w:tcMar>
            <w:vAlign w:val="bottom"/>
          </w:tcPr>
          <w:p>
            <w:pPr>
              <w:pStyle w:val="TableContents"/>
              <w:bidi w:val="0"/>
              <w:spacing w:before="0" w:after="0"/>
              <w:jc w:val="left"/>
              <w:rPr/>
            </w:pPr>
            <w:r>
              <w:rPr/>
              <w:t>$</w:t>
            </w:r>
          </w:p>
        </w:tc>
        <w:tc>
          <w:tcPr>
            <w:tcW w:w="822" w:type="dxa"/>
            <w:tcBorders>
              <w:bottom w:val="double" w:sz="8" w:space="0" w:color="000000"/>
            </w:tcBorders>
            <w:tcMar>
              <w:bottom w:w="28" w:type="dxa"/>
            </w:tcMar>
            <w:vAlign w:val="bottom"/>
          </w:tcPr>
          <w:p>
            <w:pPr>
              <w:pStyle w:val="TableContents"/>
              <w:bidi w:val="0"/>
              <w:spacing w:before="0" w:after="0"/>
              <w:jc w:val="right"/>
              <w:rPr/>
            </w:pPr>
            <w:r>
              <w:rPr/>
              <w:t>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38,378</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6. Internal-Use Software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March 3, 2021, the Company entered into a hosting arrangement through a service contract with a third party software solutions vendor to provide a suite of policy, billing, claim, and customer management services. The software is managed, hosted, supported, and delivered as a cloud-based software service product offering (software-as-a-service). The initial term of the arrangement, as amended, was three years. The arrangement was renewed in March 2024 for an additional five years, with a subsequent renewal term of five years.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Service fees related to the hosting arrangement are recorded as an expense in the Company’s condensed consolidated statement of operations as incurred. Implementation expenses incurred related to third party professional and consulting services have been capitalized. The Company will begin amortizing, on a straight-line basis over the expected remaining term of the hosting arrangement, when the software is substantially ready for its intended use. The Company incurred and capitalized implementation costs of $638 and $108 during the years ended December 31, 2025 and 2024, respectively. The Company has capitalized $5,313 and $4,675 in implementation costs in other assets in its Consolidated Balance Sheet as of December 31, 2025 and 2024, respectively. The Company expects the software will be substantially ready for its intended use during 2026. Accordingly, the Company has not recorded any amortization expense related to software implementation costs for years ended December 31, 2025 and 2024.</w:t>
      </w:r>
    </w:p>
    <w:p>
      <w:pPr>
        <w:pStyle w:val="TextBody"/>
        <w:bidi w:val="0"/>
        <w:spacing w:before="0" w:after="0"/>
        <w:jc w:val="both"/>
        <w:rPr/>
      </w:pPr>
      <w:r>
        <w:rPr/>
      </w:r>
    </w:p>
    <w:p>
      <w:pPr>
        <w:pStyle w:val="TextBody"/>
        <w:bidi w:val="0"/>
        <w:spacing w:before="0" w:after="0"/>
        <w:jc w:val="both"/>
        <w:rPr>
          <w:rFonts w:ascii="Times New Roman" w:hAnsi="Times New Roman"/>
          <w:b/>
          <w:sz w:val="20"/>
        </w:rPr>
      </w:pPr>
      <w:r>
        <w:rPr>
          <w:rFonts w:ascii="Times New Roman" w:hAnsi="Times New Roman"/>
          <w:b/>
          <w:sz w:val="20"/>
        </w:rPr>
        <w:t>Note 7. Future Policy Benefits</w:t>
      </w:r>
    </w:p>
    <w:p>
      <w:pPr>
        <w:pStyle w:val="TextBody"/>
        <w:bidi w:val="0"/>
        <w:spacing w:before="0" w:after="0"/>
        <w:jc w:val="both"/>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LFPB represents the present value of expected future policy benefits and claim</w:t>
        <w:noBreakHyphen/>
        <w:t>related expenses, less the present value of expected future net premiums. Net premiums represent the portion of gross premiums required to fund expected benefits based on current assumptions.</w:t>
      </w:r>
    </w:p>
    <w:p>
      <w:pPr>
        <w:pStyle w:val="TextBody"/>
        <w:bidi w:val="0"/>
        <w:spacing w:before="0" w:after="0"/>
        <w:jc w:val="both"/>
        <w:rPr/>
      </w:pPr>
      <w:r>
        <w:rPr/>
      </w:r>
    </w:p>
    <w:p>
      <w:pPr>
        <w:pStyle w:val="TextBody"/>
        <w:bidi w:val="0"/>
        <w:spacing w:before="0" w:after="0"/>
        <w:ind w:left="0" w:right="0" w:firstLine="540"/>
        <w:jc w:val="left"/>
        <w:rPr>
          <w:rFonts w:ascii="Times New Roman" w:hAnsi="Times New Roman"/>
          <w:sz w:val="20"/>
        </w:rPr>
      </w:pPr>
      <w:r>
        <w:rPr>
          <w:rFonts w:ascii="Times New Roman" w:hAnsi="Times New Roman"/>
          <w:sz w:val="20"/>
        </w:rPr>
        <w:t>The following table sets forth the liability for future policy benefits as of December 31, 2025 and 2024:</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06" w:name="z8306d1abc7a149839d1aede5b88edf62"/>
      <w:bookmarkStart w:id="207" w:name="z8306d1abc7a149839d1aede5b88edf62"/>
      <w:bookmarkEnd w:id="207"/>
    </w:p>
    <w:tbl>
      <w:tblPr>
        <w:tblW w:w="8849" w:type="dxa"/>
        <w:jc w:val="left"/>
        <w:tblInd w:w="0" w:type="dxa"/>
        <w:tblLayout w:type="fixed"/>
        <w:tblCellMar>
          <w:top w:w="0" w:type="dxa"/>
          <w:left w:w="0" w:type="dxa"/>
          <w:bottom w:w="0" w:type="dxa"/>
          <w:right w:w="0" w:type="dxa"/>
        </w:tblCellMar>
      </w:tblPr>
      <w:tblGrid>
        <w:gridCol w:w="6500"/>
        <w:gridCol w:w="90"/>
        <w:gridCol w:w="170"/>
        <w:gridCol w:w="710"/>
        <w:gridCol w:w="125"/>
        <w:gridCol w:w="90"/>
        <w:gridCol w:w="194"/>
        <w:gridCol w:w="815"/>
        <w:gridCol w:w="155"/>
      </w:tblGrid>
      <w:tr>
        <w:trPr/>
        <w:tc>
          <w:tcPr>
            <w:tcW w:w="6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pPr>
            <w:r>
              <w:rPr/>
              <w:t>Individual life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42,411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pPr>
            <w:r>
              <w:rPr/>
              <w:t>$</w:t>
            </w:r>
          </w:p>
        </w:tc>
        <w:tc>
          <w:tcPr>
            <w:tcW w:w="815" w:type="dxa"/>
            <w:tcBorders/>
            <w:shd w:fill="CCEEFF" w:val="clear"/>
            <w:vAlign w:val="bottom"/>
          </w:tcPr>
          <w:p>
            <w:pPr>
              <w:pStyle w:val="TableContents"/>
              <w:bidi w:val="0"/>
              <w:spacing w:before="0" w:after="0"/>
              <w:jc w:val="right"/>
              <w:rPr/>
            </w:pPr>
            <w:r>
              <w:rPr/>
              <w:t>43,477</w:t>
            </w:r>
          </w:p>
        </w:tc>
        <w:tc>
          <w:tcPr>
            <w:tcW w:w="155"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Group life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11,254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5,483</w:t>
            </w:r>
          </w:p>
        </w:tc>
        <w:tc>
          <w:tcPr>
            <w:tcW w:w="155"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9,617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8,478</w:t>
            </w:r>
          </w:p>
        </w:tc>
        <w:tc>
          <w:tcPr>
            <w:tcW w:w="155"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Other individual health</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21,437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pPr>
            <w:r>
              <w:rPr/>
              <w:t>19,443</w:t>
            </w:r>
          </w:p>
        </w:tc>
        <w:tc>
          <w:tcPr>
            <w:tcW w:w="155"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pPr>
            <w:r>
              <w:rPr/>
              <w:t>Net liability for future policy benefits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84,719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76,881</w:t>
            </w:r>
          </w:p>
        </w:tc>
        <w:tc>
          <w:tcPr>
            <w:tcW w:w="155"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Less: reinsurance recoverable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(5,309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pPr>
            <w:r>
              <w:rPr/>
              <w:t>(5,217</w:t>
            </w:r>
          </w:p>
        </w:tc>
        <w:tc>
          <w:tcPr>
            <w:tcW w:w="155" w:type="dxa"/>
            <w:tcBorders/>
            <w:vAlign w:val="bottom"/>
          </w:tcPr>
          <w:p>
            <w:pPr>
              <w:pStyle w:val="TableContents"/>
              <w:bidi w:val="0"/>
              <w:spacing w:before="0" w:after="0"/>
              <w:jc w:val="left"/>
              <w:rPr/>
            </w:pPr>
            <w:r>
              <w:rPr/>
              <w:t>)</w:t>
            </w:r>
          </w:p>
        </w:tc>
      </w:tr>
      <w:tr>
        <w:trPr/>
        <w:tc>
          <w:tcPr>
            <w:tcW w:w="6500" w:type="dxa"/>
            <w:tcBorders/>
            <w:shd w:fill="CCEEFF" w:val="clear"/>
            <w:vAlign w:val="bottom"/>
          </w:tcPr>
          <w:p>
            <w:pPr>
              <w:pStyle w:val="TableContents"/>
              <w:bidi w:val="0"/>
              <w:spacing w:before="0" w:after="0"/>
              <w:jc w:val="left"/>
              <w:rPr/>
            </w:pPr>
            <w:r>
              <w:rPr/>
              <w:t>Net liability for future policy benefits, net of reinsurance recoverable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79,410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15" w:type="dxa"/>
            <w:tcBorders>
              <w:bottom w:val="double" w:sz="8" w:space="0" w:color="000000"/>
            </w:tcBorders>
            <w:shd w:fill="CCEEFF" w:val="clear"/>
            <w:tcMar>
              <w:bottom w:w="28" w:type="dxa"/>
            </w:tcMar>
            <w:vAlign w:val="bottom"/>
          </w:tcPr>
          <w:p>
            <w:pPr>
              <w:pStyle w:val="TableContents"/>
              <w:bidi w:val="0"/>
              <w:spacing w:before="0" w:after="0"/>
              <w:jc w:val="right"/>
              <w:rPr/>
            </w:pPr>
            <w:r>
              <w:rPr/>
              <w:t>71,664</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Changes in Future Liability Policy Benefits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One component of the change in the LFPB is the change attributable to changes in cash flow assumptions.  The LFPB is calculated based on assumptions that are evaluated at least annually. These assumptions include mortality and voluntary policyholder lapses for individual life and group life, and total policy terminations and claim costs for Medicare Supplement products and other individual health products.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performed experience studies based on cutoff dates of December 31, 2024 and December 31, 2025 to determine the assumptions for the calculation of the LFPB as of the respective valuation dates.  Based on these studies, the Company updated mortality and voluntary lapse assumptions for individual and group life products and claim cost assumptions for Medicare Supplement products. The updated assumptions did not significantly affect LFPB for the life products. Changes in Medicare Supplement claim cost assumptions reduced LFPB by approximately $1,467 and $2,480 as of December 31, 2024 and December 31, 2025, respectively, primarily due to lower projected claim costs during the first three policy years. The remainder of the remeasurement gain of $225 and $1,232 in 2024 and 2025, respectively, were attributable to the differences between actual and expected cash flows. No portion of the LFPB remeasurement gain for 2024 or 2025 resulted from the application of the 100% net premium ratio cap.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the balances of and changes in the liability for future policy benefits as of and for the year ended December 31, 2025:</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08" w:name="z97ef86ba8ac0485e8231ed1ef6d30750"/>
      <w:bookmarkStart w:id="209" w:name="z97ef86ba8ac0485e8231ed1ef6d30750"/>
      <w:bookmarkEnd w:id="209"/>
    </w:p>
    <w:tbl>
      <w:tblPr>
        <w:tblW w:w="10205" w:type="dxa"/>
        <w:jc w:val="left"/>
        <w:tblInd w:w="0" w:type="dxa"/>
        <w:tblLayout w:type="fixed"/>
        <w:tblCellMar>
          <w:top w:w="0" w:type="dxa"/>
          <w:left w:w="0" w:type="dxa"/>
          <w:bottom w:w="0" w:type="dxa"/>
          <w:right w:w="0" w:type="dxa"/>
        </w:tblCellMar>
      </w:tblPr>
      <w:tblGrid>
        <w:gridCol w:w="3500"/>
        <w:gridCol w:w="90"/>
        <w:gridCol w:w="212"/>
        <w:gridCol w:w="888"/>
        <w:gridCol w:w="125"/>
        <w:gridCol w:w="90"/>
        <w:gridCol w:w="170"/>
        <w:gridCol w:w="785"/>
        <w:gridCol w:w="125"/>
        <w:gridCol w:w="90"/>
        <w:gridCol w:w="182"/>
        <w:gridCol w:w="1083"/>
        <w:gridCol w:w="125"/>
        <w:gridCol w:w="90"/>
        <w:gridCol w:w="212"/>
        <w:gridCol w:w="888"/>
        <w:gridCol w:w="125"/>
        <w:gridCol w:w="90"/>
        <w:gridCol w:w="170"/>
        <w:gridCol w:w="1010"/>
        <w:gridCol w:w="155"/>
      </w:tblGrid>
      <w:tr>
        <w:trPr/>
        <w:tc>
          <w:tcPr>
            <w:tcW w:w="3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06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Individual</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Group</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Medicare</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Individual</w:t>
            </w:r>
          </w:p>
          <w:p>
            <w:pPr>
              <w:pStyle w:val="TableContents"/>
              <w:bidi w:val="0"/>
              <w:spacing w:before="0" w:after="0"/>
              <w:jc w:val="center"/>
              <w:rPr>
                <w:b/>
              </w:rPr>
            </w:pPr>
            <w:r>
              <w:rPr>
                <w:b/>
              </w:rPr>
              <w:t>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net premiums:</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18,698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60,665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pPr>
            <w:r>
              <w:rPr/>
              <w:t>$</w:t>
            </w:r>
          </w:p>
        </w:tc>
        <w:tc>
          <w:tcPr>
            <w:tcW w:w="1083" w:type="dxa"/>
            <w:tcBorders/>
            <w:shd w:fill="CCEEFF" w:val="clear"/>
            <w:vAlign w:val="bottom"/>
          </w:tcPr>
          <w:p>
            <w:pPr>
              <w:pStyle w:val="TableContents"/>
              <w:bidi w:val="0"/>
              <w:spacing w:before="0" w:after="0"/>
              <w:jc w:val="right"/>
              <w:rPr/>
            </w:pPr>
            <w:r>
              <w:rPr/>
              <w:t>749,267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28,888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857,518</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19,313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67,017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835,891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31,290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953,511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(2,046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(17,467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(19,498</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(35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(9,613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18,362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(1,692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7,022</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19,293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55,358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836,786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29,598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941,035</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785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15,092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313,351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8,407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337,635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919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2,926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34,958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1,259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40,062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ind w:left="180" w:right="0" w:hanging="0"/>
              <w:jc w:val="left"/>
              <w:rPr/>
            </w:pPr>
            <w:r>
              <w:rPr/>
              <w:t>Net premiums collected(1)</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(2,697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(6,641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(97,008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(5,067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(111,413</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18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(11</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18,299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66,735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1,088,087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34,187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1,207,308</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(229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(3,977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(60,414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(1,364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(65,984</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180" w:right="0" w:hanging="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18,070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62,758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083" w:type="dxa"/>
            <w:tcBorders>
              <w:bottom w:val="double" w:sz="8" w:space="0" w:color="000000"/>
            </w:tcBorders>
            <w:tcMar>
              <w:bottom w:w="28" w:type="dxa"/>
            </w:tcMar>
            <w:vAlign w:val="bottom"/>
          </w:tcPr>
          <w:p>
            <w:pPr>
              <w:pStyle w:val="TableContents"/>
              <w:bidi w:val="0"/>
              <w:spacing w:before="0" w:after="0"/>
              <w:jc w:val="right"/>
              <w:rPr/>
            </w:pPr>
            <w:r>
              <w:rPr/>
              <w:t>1,027,673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32,823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1,141,324</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future policy benefits: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62,175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66,148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pPr>
            <w:r>
              <w:rPr/>
              <w:t>$</w:t>
            </w:r>
          </w:p>
        </w:tc>
        <w:tc>
          <w:tcPr>
            <w:tcW w:w="1083" w:type="dxa"/>
            <w:tcBorders/>
            <w:shd w:fill="CCEEFF" w:val="clear"/>
            <w:vAlign w:val="bottom"/>
          </w:tcPr>
          <w:p>
            <w:pPr>
              <w:pStyle w:val="TableContents"/>
              <w:bidi w:val="0"/>
              <w:spacing w:before="0" w:after="0"/>
              <w:jc w:val="right"/>
              <w:rPr/>
            </w:pPr>
            <w:r>
              <w:rPr/>
              <w:t>757,649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48,331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934,303</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63,964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84,798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842,118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55,055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1,045,935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(2,138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(19,947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(22,066</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171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(9,834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17,130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(2,743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4,724</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64,156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72,826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839,301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52,310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1,028,593</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784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15,101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313,018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8,300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337,203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3,167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3,843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36,102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45,287</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Benefit payments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(6,558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(2,003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(88,477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(2,520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(99,558</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36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(436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(195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(2,875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(1,028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(4,534</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61,113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89,572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1,097,069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59,237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1,306,991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(632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(15,560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(60,367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(4,977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(81,536</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180" w:right="0" w:hanging="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60,481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74,012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083" w:type="dxa"/>
            <w:tcBorders>
              <w:bottom w:val="double" w:sz="8" w:space="0" w:color="000000"/>
            </w:tcBorders>
            <w:tcMar>
              <w:bottom w:w="28" w:type="dxa"/>
            </w:tcMar>
            <w:vAlign w:val="bottom"/>
          </w:tcPr>
          <w:p>
            <w:pPr>
              <w:pStyle w:val="TableContents"/>
              <w:bidi w:val="0"/>
              <w:spacing w:before="0" w:after="0"/>
              <w:jc w:val="right"/>
              <w:rPr/>
            </w:pPr>
            <w:r>
              <w:rPr/>
              <w:t>1,036,702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54,260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1,225,455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 before flooring adjustments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42,411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11,254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9,029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21,437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84,131</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jc w:val="left"/>
              <w:rPr/>
            </w:pPr>
            <w:r>
              <w:rPr/>
              <w:t>Flooring adjustments(2)</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588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588</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42,411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11,254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9,617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21,437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84,719</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Less: reinsurance recoverable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(47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(5,262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(5,309</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jc w:val="left"/>
              <w:rPr/>
            </w:pPr>
            <w:r>
              <w:rPr/>
              <w:t>Net liability for future policy benefits, net of reinsurance recoverable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42,364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0"/>
              <w:jc w:val="right"/>
              <w:rPr/>
            </w:pPr>
            <w:r>
              <w:rPr/>
              <w:t>11,254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0"/>
              <w:jc w:val="right"/>
              <w:rPr/>
            </w:pPr>
            <w:r>
              <w:rPr/>
              <w:t>4,355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21,437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0"/>
              <w:jc w:val="right"/>
              <w:rPr/>
            </w:pPr>
            <w:r>
              <w:rPr/>
              <w:t>79,410</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Weighted average liability duration (years)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7.9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bl>
    <w:p>
      <w:pPr>
        <w:pStyle w:val="TextBody"/>
        <w:bidi w:val="0"/>
        <w:spacing w:lineRule="auto" w:line="240" w:before="0" w:after="0"/>
        <w:jc w:val="both"/>
        <w:rPr/>
      </w:pPr>
      <w:r>
        <w:rPr/>
      </w:r>
    </w:p>
    <w:p>
      <w:pPr>
        <w:pStyle w:val="Normal"/>
        <w:bidi w:val="0"/>
        <w:spacing w:before="0" w:after="0"/>
        <w:jc w:val="left"/>
        <w:rPr>
          <w:sz w:val="4"/>
          <w:szCs w:val="4"/>
        </w:rPr>
      </w:pPr>
      <w:r>
        <w:rPr>
          <w:sz w:val="4"/>
          <w:szCs w:val="4"/>
        </w:rPr>
      </w:r>
      <w:bookmarkStart w:id="210" w:name="z6ddf7a6a39514b699a71a394e26ca39e"/>
      <w:bookmarkStart w:id="211" w:name="z6ddf7a6a39514b699a71a394e26ca39e"/>
      <w:bookmarkEnd w:id="211"/>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lineRule="auto" w:line="240" w:before="0" w:after="0"/>
              <w:jc w:val="both"/>
              <w:rPr/>
            </w:pPr>
            <w:r>
              <w:rPr/>
              <w:t>(1)</w:t>
            </w:r>
          </w:p>
        </w:tc>
        <w:tc>
          <w:tcPr>
            <w:tcW w:w="9890" w:type="dxa"/>
            <w:tcBorders/>
            <w:vAlign w:val="center"/>
          </w:tcPr>
          <w:p>
            <w:pPr>
              <w:pStyle w:val="TableContents"/>
              <w:bidi w:val="0"/>
              <w:spacing w:before="0" w:after="0"/>
              <w:jc w:val="both"/>
              <w:rPr/>
            </w:pPr>
            <w:r>
              <w:rPr/>
              <w:t>Net premiums represent the portion of gross premiums collected from policyholders that is necessary to fund expected benefit payments.</w:t>
            </w:r>
          </w:p>
        </w:tc>
      </w:tr>
    </w:tbl>
    <w:p>
      <w:pPr>
        <w:pStyle w:val="Normal"/>
        <w:bidi w:val="0"/>
        <w:spacing w:before="0" w:after="0"/>
        <w:jc w:val="left"/>
        <w:rPr>
          <w:sz w:val="4"/>
          <w:szCs w:val="4"/>
        </w:rPr>
      </w:pPr>
      <w:r>
        <w:rPr>
          <w:sz w:val="4"/>
          <w:szCs w:val="4"/>
        </w:rPr>
      </w:r>
      <w:bookmarkStart w:id="212" w:name="zd5a5dabf1d6047be89c2a30ca7bbadb4"/>
      <w:bookmarkStart w:id="213" w:name="zd5a5dabf1d6047be89c2a30ca7bbadb4"/>
      <w:bookmarkEnd w:id="213"/>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lineRule="auto" w:line="240" w:before="0" w:after="0"/>
              <w:jc w:val="both"/>
              <w:rPr>
                <w:sz w:val="24"/>
              </w:rPr>
            </w:pPr>
            <w:r>
              <w:rPr>
                <w:sz w:val="24"/>
              </w:rPr>
              <w:t>(2)</w:t>
            </w:r>
          </w:p>
        </w:tc>
        <w:tc>
          <w:tcPr>
            <w:tcW w:w="9920" w:type="dxa"/>
            <w:tcBorders/>
            <w:vAlign w:val="center"/>
          </w:tcPr>
          <w:p>
            <w:pPr>
              <w:pStyle w:val="TableContents"/>
              <w:bidi w:val="0"/>
              <w:spacing w:before="0" w:after="0"/>
              <w:jc w:val="both"/>
              <w:rPr>
                <w:sz w:val="20"/>
              </w:rPr>
            </w:pPr>
            <w:r>
              <w:rPr>
                <w:sz w:val="20"/>
              </w:rPr>
              <w:t>Flooring adjustments are necessary when the present value of future net premiums exceeds the present value of future benefits for a given cohort. The flooring adjustment is the total of the flooring adjustments for each cohort, if any.  These adjustments ensure that the liability for future policy benefits is at least zero for all cohorts.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following table presents the balances of and changes in the liability for future policy benefits as of and for the year ended December 31,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4" w:name="z083a12ef048c42d49c49ff4bd82dfe0d"/>
      <w:bookmarkStart w:id="215" w:name="z083a12ef048c42d49c49ff4bd82dfe0d"/>
      <w:bookmarkEnd w:id="215"/>
    </w:p>
    <w:tbl>
      <w:tblPr>
        <w:tblW w:w="10205" w:type="dxa"/>
        <w:jc w:val="left"/>
        <w:tblInd w:w="0" w:type="dxa"/>
        <w:tblLayout w:type="fixed"/>
        <w:tblCellMar>
          <w:top w:w="0" w:type="dxa"/>
          <w:left w:w="0" w:type="dxa"/>
          <w:bottom w:w="0" w:type="dxa"/>
          <w:right w:w="0" w:type="dxa"/>
        </w:tblCellMar>
      </w:tblPr>
      <w:tblGrid>
        <w:gridCol w:w="3500"/>
        <w:gridCol w:w="90"/>
        <w:gridCol w:w="212"/>
        <w:gridCol w:w="888"/>
        <w:gridCol w:w="125"/>
        <w:gridCol w:w="90"/>
        <w:gridCol w:w="170"/>
        <w:gridCol w:w="785"/>
        <w:gridCol w:w="125"/>
        <w:gridCol w:w="90"/>
        <w:gridCol w:w="215"/>
        <w:gridCol w:w="1050"/>
        <w:gridCol w:w="125"/>
        <w:gridCol w:w="90"/>
        <w:gridCol w:w="212"/>
        <w:gridCol w:w="888"/>
        <w:gridCol w:w="125"/>
        <w:gridCol w:w="90"/>
        <w:gridCol w:w="170"/>
        <w:gridCol w:w="1010"/>
        <w:gridCol w:w="155"/>
      </w:tblGrid>
      <w:tr>
        <w:trPr/>
        <w:tc>
          <w:tcPr>
            <w:tcW w:w="3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60" w:type="dxa"/>
            <w:gridSpan w:val="18"/>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60" w:type="dxa"/>
            <w:gridSpan w:val="18"/>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 </w:t>
            </w:r>
          </w:p>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Individual</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Group</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Medicare</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Individual</w:t>
            </w:r>
          </w:p>
          <w:p>
            <w:pPr>
              <w:pStyle w:val="TableContents"/>
              <w:bidi w:val="0"/>
              <w:spacing w:before="0" w:after="0"/>
              <w:jc w:val="center"/>
              <w:rPr>
                <w:b/>
              </w:rPr>
            </w:pPr>
            <w:r>
              <w:rPr>
                <w:b/>
              </w:rPr>
              <w:t>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net premiums:</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19,626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52,337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pPr>
            <w:r>
              <w:rPr/>
              <w:t>$</w:t>
            </w:r>
          </w:p>
        </w:tc>
        <w:tc>
          <w:tcPr>
            <w:tcW w:w="1050" w:type="dxa"/>
            <w:tcBorders/>
            <w:shd w:fill="CCEEFF" w:val="clear"/>
            <w:vAlign w:val="bottom"/>
          </w:tcPr>
          <w:p>
            <w:pPr>
              <w:pStyle w:val="TableContents"/>
              <w:bidi w:val="0"/>
              <w:spacing w:before="0" w:after="0"/>
              <w:jc w:val="right"/>
              <w:rPr/>
            </w:pPr>
            <w:r>
              <w:rPr/>
              <w:t>769,715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26,734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868,412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19,429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56,900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838,249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29,115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943,693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(1,729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(17,867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(19,598</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744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(5,838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21,955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(3,094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13,767</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20,171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49,333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842,337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26,021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937,862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883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21,609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50,374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8,589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81,455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947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2,762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28,816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1,096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33,621</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ind w:left="360" w:right="0" w:hanging="0"/>
              <w:jc w:val="left"/>
              <w:rPr/>
            </w:pPr>
            <w:r>
              <w:rPr/>
              <w:t>Net premiums collected(1)</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(2,688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(6,688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(85,637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(4,420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(99,433</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36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6</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19,313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67,017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835,891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31,290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953,511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(615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(6,352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(86,624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(2,402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(95,993</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18,698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60,665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pPr>
            <w:r>
              <w:rPr/>
              <w:t>$</w:t>
            </w:r>
          </w:p>
        </w:tc>
        <w:tc>
          <w:tcPr>
            <w:tcW w:w="1050" w:type="dxa"/>
            <w:tcBorders>
              <w:bottom w:val="double" w:sz="8" w:space="0" w:color="000000"/>
            </w:tcBorders>
            <w:tcMar>
              <w:bottom w:w="28" w:type="dxa"/>
            </w:tcMar>
            <w:vAlign w:val="bottom"/>
          </w:tcPr>
          <w:p>
            <w:pPr>
              <w:pStyle w:val="TableContents"/>
              <w:bidi w:val="0"/>
              <w:spacing w:before="0" w:after="0"/>
              <w:jc w:val="right"/>
              <w:rPr/>
            </w:pPr>
            <w:r>
              <w:rPr/>
              <w:t>749,267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28,888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857,518</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future policy benefits: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67,902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56,767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pPr>
            <w:r>
              <w:rPr/>
              <w:t>$</w:t>
            </w:r>
          </w:p>
        </w:tc>
        <w:tc>
          <w:tcPr>
            <w:tcW w:w="1050" w:type="dxa"/>
            <w:tcBorders/>
            <w:shd w:fill="CCEEFF" w:val="clear"/>
            <w:vAlign w:val="bottom"/>
          </w:tcPr>
          <w:p>
            <w:pPr>
              <w:pStyle w:val="TableContents"/>
              <w:bidi w:val="0"/>
              <w:spacing w:before="0" w:after="0"/>
              <w:jc w:val="right"/>
              <w:rPr/>
            </w:pPr>
            <w:r>
              <w:rPr/>
              <w:t>784,912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45,549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955,130</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66,232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69,013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851,128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50,884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1,037,257</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(1,749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(19,334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(21,086</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941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(5,886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21,730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(4,024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12,761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67,170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61,378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853,524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46,860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1,028,932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21,609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50,327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8,662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81,483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3,304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3,388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29,975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38,580</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Benefit payments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(6,592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(1,322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(90,961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(2,200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(101,075</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36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(803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(255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(747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(180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(1,985</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63,964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84,798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842,118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55,055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1,045,935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(1,789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(18,650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(84,469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(6,724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(111,632</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62,175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66,148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pPr>
            <w:r>
              <w:rPr/>
              <w:t>$</w:t>
            </w:r>
          </w:p>
        </w:tc>
        <w:tc>
          <w:tcPr>
            <w:tcW w:w="1050" w:type="dxa"/>
            <w:tcBorders>
              <w:bottom w:val="double" w:sz="8" w:space="0" w:color="000000"/>
            </w:tcBorders>
            <w:tcMar>
              <w:bottom w:w="28" w:type="dxa"/>
            </w:tcMar>
            <w:vAlign w:val="bottom"/>
          </w:tcPr>
          <w:p>
            <w:pPr>
              <w:pStyle w:val="TableContents"/>
              <w:bidi w:val="0"/>
              <w:spacing w:before="0" w:after="0"/>
              <w:jc w:val="right"/>
              <w:rPr/>
            </w:pPr>
            <w:r>
              <w:rPr/>
              <w:t>757,649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48,331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934,303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 before flooring adjustments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43,477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5,483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8,382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76,785</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jc w:val="left"/>
              <w:rPr/>
            </w:pPr>
            <w:r>
              <w:rPr/>
              <w:t>Flooring adjustments(2)</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96</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43,477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5,483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8,478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76,881</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Less: reinsurance recoverable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(56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(5,161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(5,217</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jc w:val="left"/>
              <w:rPr/>
            </w:pPr>
            <w:r>
              <w:rPr/>
              <w:t>Net liability for future policy benefits, net of reinsurance recoverable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43,421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0"/>
              <w:jc w:val="right"/>
              <w:rPr/>
            </w:pPr>
            <w:r>
              <w:rPr/>
              <w:t>5,483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50" w:type="dxa"/>
            <w:tcBorders/>
            <w:shd w:fill="CCEEFF" w:val="clear"/>
            <w:vAlign w:val="bottom"/>
          </w:tcPr>
          <w:p>
            <w:pPr>
              <w:pStyle w:val="TableContents"/>
              <w:bidi w:val="0"/>
              <w:spacing w:before="0" w:after="0"/>
              <w:jc w:val="right"/>
              <w:rPr/>
            </w:pPr>
            <w:r>
              <w:rPr/>
              <w:t>3,317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0"/>
              <w:jc w:val="right"/>
              <w:rPr/>
            </w:pPr>
            <w:r>
              <w:rPr/>
              <w:t>71,664</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Weighted average liability duration (years)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bl>
    <w:p>
      <w:pPr>
        <w:pStyle w:val="TextBody"/>
        <w:bidi w:val="0"/>
        <w:spacing w:lineRule="auto" w:line="240" w:before="0" w:after="0"/>
        <w:jc w:val="both"/>
        <w:rPr>
          <w:sz w:val="24"/>
        </w:rPr>
      </w:pPr>
      <w:r>
        <w:rPr>
          <w:sz w:val="24"/>
        </w:rPr>
      </w:r>
    </w:p>
    <w:p>
      <w:pPr>
        <w:pStyle w:val="Normal"/>
        <w:bidi w:val="0"/>
        <w:spacing w:before="0" w:after="0"/>
        <w:jc w:val="left"/>
        <w:rPr>
          <w:sz w:val="4"/>
          <w:szCs w:val="4"/>
        </w:rPr>
      </w:pPr>
      <w:r>
        <w:rPr>
          <w:sz w:val="4"/>
          <w:szCs w:val="4"/>
        </w:rPr>
      </w:r>
      <w:bookmarkStart w:id="216" w:name="zc849401dfea9451a8facdae33dc258a6"/>
      <w:bookmarkStart w:id="217" w:name="zc849401dfea9451a8facdae33dc258a6"/>
      <w:bookmarkEnd w:id="217"/>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40" w:before="0" w:after="0"/>
              <w:jc w:val="both"/>
              <w:rPr>
                <w:sz w:val="24"/>
              </w:rPr>
            </w:pPr>
            <w:r>
              <w:rPr>
                <w:sz w:val="24"/>
              </w:rPr>
              <w:t>(1)</w:t>
            </w:r>
          </w:p>
        </w:tc>
        <w:tc>
          <w:tcPr>
            <w:tcW w:w="9880" w:type="dxa"/>
            <w:tcBorders/>
            <w:vAlign w:val="center"/>
          </w:tcPr>
          <w:p>
            <w:pPr>
              <w:pStyle w:val="TableContents"/>
              <w:bidi w:val="0"/>
              <w:spacing w:before="0" w:after="0"/>
              <w:jc w:val="both"/>
              <w:rPr>
                <w:sz w:val="20"/>
              </w:rPr>
            </w:pPr>
            <w:r>
              <w:rPr>
                <w:sz w:val="20"/>
              </w:rPr>
              <w:t>Net premiums represent the portion of gross premiums collected from policyholders that is necessary to fund expected benefit payments</w:t>
            </w:r>
          </w:p>
        </w:tc>
      </w:tr>
    </w:tbl>
    <w:p>
      <w:pPr>
        <w:pStyle w:val="Normal"/>
        <w:bidi w:val="0"/>
        <w:spacing w:before="0" w:after="0"/>
        <w:jc w:val="left"/>
        <w:rPr>
          <w:sz w:val="4"/>
          <w:szCs w:val="4"/>
        </w:rPr>
      </w:pPr>
      <w:r>
        <w:rPr>
          <w:sz w:val="4"/>
          <w:szCs w:val="4"/>
        </w:rPr>
      </w:r>
      <w:bookmarkStart w:id="218" w:name="z6ecb58f9aa414bab8a0d2449d9296284"/>
      <w:bookmarkStart w:id="219" w:name="z6ecb58f9aa414bab8a0d2449d9296284"/>
      <w:bookmarkEnd w:id="219"/>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both"/>
              <w:rPr/>
            </w:pPr>
            <w:r>
              <w:rPr/>
              <w:t>(2)</w:t>
            </w:r>
          </w:p>
        </w:tc>
        <w:tc>
          <w:tcPr>
            <w:tcW w:w="9924" w:type="dxa"/>
            <w:tcBorders/>
            <w:vAlign w:val="center"/>
          </w:tcPr>
          <w:p>
            <w:pPr>
              <w:pStyle w:val="TableContents"/>
              <w:bidi w:val="0"/>
              <w:spacing w:before="0" w:after="0"/>
              <w:jc w:val="both"/>
              <w:rPr/>
            </w:pPr>
            <w:r>
              <w:rPr/>
              <w:t>Flooring adjustments are necessary when the present value of future net premiums exceeds the present value of future benefits for a given cohort. The flooring adjustment is the total of the flooring adjustments for each cohort, if any.  These adjustments ensure that the liability for future policy benefits is at least zero for all cohorts.</w:t>
            </w:r>
          </w:p>
        </w:tc>
      </w:tr>
    </w:tbl>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Weighted Average Interest Rates</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balances of and changes in the liability for future policy benefits as of and for the years ended December 31, 2025 and 2024.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0" w:name="z00855e35374c460c94db09da5449ea1c"/>
      <w:bookmarkStart w:id="221" w:name="z00855e35374c460c94db09da5449ea1c"/>
      <w:bookmarkEnd w:id="221"/>
    </w:p>
    <w:tbl>
      <w:tblPr>
        <w:tblW w:w="9355" w:type="dxa"/>
        <w:jc w:val="left"/>
        <w:tblInd w:w="0" w:type="dxa"/>
        <w:tblLayout w:type="fixed"/>
        <w:tblCellMar>
          <w:top w:w="0" w:type="dxa"/>
          <w:left w:w="0" w:type="dxa"/>
          <w:bottom w:w="0" w:type="dxa"/>
          <w:right w:w="0" w:type="dxa"/>
        </w:tblCellMar>
      </w:tblPr>
      <w:tblGrid>
        <w:gridCol w:w="3155"/>
        <w:gridCol w:w="90"/>
        <w:gridCol w:w="2750"/>
        <w:gridCol w:w="245"/>
        <w:gridCol w:w="90"/>
        <w:gridCol w:w="2750"/>
        <w:gridCol w:w="275"/>
      </w:tblGrid>
      <w:tr>
        <w:trPr/>
        <w:tc>
          <w:tcPr>
            <w:tcW w:w="3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p>
            <w:pPr>
              <w:pStyle w:val="TableContents"/>
              <w:bidi w:val="0"/>
              <w:spacing w:before="0" w:after="0"/>
              <w:jc w:val="center"/>
              <w:rPr>
                <w:b/>
              </w:rPr>
            </w:pPr>
            <w:r>
              <w:rPr>
                <w:b/>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p>
            <w:pPr>
              <w:pStyle w:val="TableContents"/>
              <w:bidi w:val="0"/>
              <w:spacing w:before="0" w:after="0"/>
              <w:jc w:val="center"/>
              <w:rPr>
                <w:b/>
              </w:rPr>
            </w:pPr>
            <w:r>
              <w:rPr>
                <w:b/>
              </w:rPr>
              <w:t>2024</w:t>
            </w:r>
          </w:p>
        </w:tc>
        <w:tc>
          <w:tcPr>
            <w:tcW w:w="275" w:type="dxa"/>
            <w:tcBorders/>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b/>
              </w:rPr>
            </w:pPr>
            <w:r>
              <w:rPr>
                <w:b/>
              </w:rPr>
              <w:t>Individual Life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left"/>
              <w:rPr/>
            </w:pPr>
            <w:r>
              <w:rPr/>
              <w:t>Interest accretion (locked-in)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4.9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4.5</w:t>
            </w:r>
          </w:p>
        </w:tc>
        <w:tc>
          <w:tcPr>
            <w:tcW w:w="275" w:type="dxa"/>
            <w:tcBorders/>
            <w:shd w:fill="CCEEFF" w:val="clear"/>
            <w:vAlign w:val="bottom"/>
          </w:tcPr>
          <w:p>
            <w:pPr>
              <w:pStyle w:val="TableContents"/>
              <w:bidi w:val="0"/>
              <w:spacing w:before="0" w:after="0"/>
              <w:jc w:val="left"/>
              <w:rPr/>
            </w:pPr>
            <w:r>
              <w:rPr/>
              <w:t>%</w:t>
            </w:r>
          </w:p>
        </w:tc>
      </w:tr>
      <w:tr>
        <w:trPr/>
        <w:tc>
          <w:tcPr>
            <w:tcW w:w="3155" w:type="dxa"/>
            <w:tcBorders/>
            <w:vAlign w:val="bottom"/>
          </w:tcPr>
          <w:p>
            <w:pPr>
              <w:pStyle w:val="TableContents"/>
              <w:bidi w:val="0"/>
              <w:spacing w:before="0" w:after="0"/>
              <w:ind w:left="180" w:right="0" w:hanging="0"/>
              <w:jc w:val="left"/>
              <w:rPr/>
            </w:pPr>
            <w:r>
              <w:rPr/>
              <w:t>Current discount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5.3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5.5</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jc w:val="left"/>
              <w:rPr>
                <w:b/>
              </w:rPr>
            </w:pPr>
            <w:r>
              <w:rPr>
                <w:b/>
              </w:rPr>
              <w:t>Group Life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pPr>
            <w:r>
              <w:rPr/>
              <w:t>Interest accretion (locked-in)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5.0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4.6</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ind w:left="180" w:right="0" w:hanging="0"/>
              <w:jc w:val="left"/>
              <w:rPr/>
            </w:pPr>
            <w:r>
              <w:rPr/>
              <w:t>Current discount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5.9</w:t>
            </w:r>
          </w:p>
        </w:tc>
        <w:tc>
          <w:tcPr>
            <w:tcW w:w="275" w:type="dxa"/>
            <w:tcBorders/>
            <w:shd w:fill="CCEEFF" w:val="clear"/>
            <w:vAlign w:val="bottom"/>
          </w:tcPr>
          <w:p>
            <w:pPr>
              <w:pStyle w:val="TableContents"/>
              <w:bidi w:val="0"/>
              <w:spacing w:before="0" w:after="0"/>
              <w:jc w:val="left"/>
              <w:rPr/>
            </w:pPr>
            <w:r>
              <w:rPr/>
              <w:t>%</w:t>
            </w:r>
          </w:p>
        </w:tc>
      </w:tr>
      <w:tr>
        <w:trPr/>
        <w:tc>
          <w:tcPr>
            <w:tcW w:w="3155" w:type="dxa"/>
            <w:tcBorders/>
            <w:vAlign w:val="bottom"/>
          </w:tcPr>
          <w:p>
            <w:pPr>
              <w:pStyle w:val="TableContents"/>
              <w:bidi w:val="0"/>
              <w:spacing w:before="0" w:after="0"/>
              <w:jc w:val="left"/>
              <w:rPr>
                <w:b/>
              </w:rPr>
            </w:pPr>
            <w:r>
              <w:rPr>
                <w:b/>
              </w:rPr>
              <w:t>Medicare Supplement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left"/>
              <w:rPr/>
            </w:pPr>
            <w:r>
              <w:rPr/>
              <w:t>Interest accretion (locked-in)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4.8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3.6</w:t>
            </w:r>
          </w:p>
        </w:tc>
        <w:tc>
          <w:tcPr>
            <w:tcW w:w="275" w:type="dxa"/>
            <w:tcBorders/>
            <w:shd w:fill="CCEEFF" w:val="clear"/>
            <w:vAlign w:val="bottom"/>
          </w:tcPr>
          <w:p>
            <w:pPr>
              <w:pStyle w:val="TableContents"/>
              <w:bidi w:val="0"/>
              <w:spacing w:before="0" w:after="0"/>
              <w:jc w:val="left"/>
              <w:rPr/>
            </w:pPr>
            <w:r>
              <w:rPr/>
              <w:t>%</w:t>
            </w:r>
          </w:p>
        </w:tc>
      </w:tr>
      <w:tr>
        <w:trPr/>
        <w:tc>
          <w:tcPr>
            <w:tcW w:w="3155" w:type="dxa"/>
            <w:tcBorders/>
            <w:vAlign w:val="bottom"/>
          </w:tcPr>
          <w:p>
            <w:pPr>
              <w:pStyle w:val="TableContents"/>
              <w:bidi w:val="0"/>
              <w:spacing w:before="0" w:after="0"/>
              <w:ind w:left="180" w:right="0" w:hanging="0"/>
              <w:jc w:val="left"/>
              <w:rPr/>
            </w:pPr>
            <w:r>
              <w:rPr/>
              <w:t>Current discount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6.4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6.0</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jc w:val="left"/>
              <w:rPr>
                <w:b/>
              </w:rPr>
            </w:pPr>
            <w:r>
              <w:rPr>
                <w:b/>
              </w:rPr>
              <w:t>Other Individual Health</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pPr>
            <w:r>
              <w:rPr/>
              <w:t>Interest accretion (locked-in)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4.0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3.8</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ind w:left="180" w:right="0" w:hanging="0"/>
              <w:jc w:val="left"/>
              <w:rPr/>
            </w:pPr>
            <w:r>
              <w:rPr/>
              <w:t>Current discount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5.7</w:t>
            </w:r>
          </w:p>
        </w:tc>
        <w:tc>
          <w:tcPr>
            <w:tcW w:w="27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Discounted Future Gross Premium</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following table sets forth the amount of undiscounted and discounted expected future gross premiums and expected future benefit payments as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2" w:name="z5c73055dde8c4cde8037d6635fc1c48c"/>
      <w:bookmarkStart w:id="223" w:name="z5c73055dde8c4cde8037d6635fc1c48c"/>
      <w:bookmarkEnd w:id="223"/>
    </w:p>
    <w:tbl>
      <w:tblPr>
        <w:tblW w:w="9355" w:type="dxa"/>
        <w:jc w:val="left"/>
        <w:tblInd w:w="0" w:type="dxa"/>
        <w:tblLayout w:type="fixed"/>
        <w:tblCellMar>
          <w:top w:w="0" w:type="dxa"/>
          <w:left w:w="0" w:type="dxa"/>
          <w:bottom w:w="0" w:type="dxa"/>
          <w:right w:w="0" w:type="dxa"/>
        </w:tblCellMar>
      </w:tblPr>
      <w:tblGrid>
        <w:gridCol w:w="3305"/>
        <w:gridCol w:w="90"/>
        <w:gridCol w:w="210"/>
        <w:gridCol w:w="1250"/>
        <w:gridCol w:w="90"/>
        <w:gridCol w:w="90"/>
        <w:gridCol w:w="171"/>
        <w:gridCol w:w="1019"/>
        <w:gridCol w:w="90"/>
        <w:gridCol w:w="90"/>
        <w:gridCol w:w="210"/>
        <w:gridCol w:w="1250"/>
        <w:gridCol w:w="90"/>
        <w:gridCol w:w="90"/>
        <w:gridCol w:w="171"/>
        <w:gridCol w:w="1019"/>
        <w:gridCol w:w="120"/>
      </w:tblGrid>
      <w:tr>
        <w:trPr/>
        <w:tc>
          <w:tcPr>
            <w:tcW w:w="3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Undiscounted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rPr>
            </w:pPr>
            <w:r>
              <w:rPr>
                <w:b/>
              </w:rPr>
              <w:t>Discounted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Undiscounted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rPr>
            </w:pPr>
            <w:r>
              <w:rPr>
                <w:b/>
              </w:rPr>
              <w:t>Discounted</w:t>
            </w:r>
          </w:p>
        </w:tc>
        <w:tc>
          <w:tcPr>
            <w:tcW w:w="12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b/>
              </w:rPr>
            </w:pPr>
            <w:r>
              <w:rPr>
                <w:b/>
              </w:rPr>
              <w:t>Individual life</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gross premiums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pPr>
            <w:r>
              <w:rPr/>
              <w:t>$</w:t>
            </w:r>
          </w:p>
        </w:tc>
        <w:tc>
          <w:tcPr>
            <w:tcW w:w="1250" w:type="dxa"/>
            <w:tcBorders/>
            <w:shd w:fill="CCEEFF" w:val="clear"/>
            <w:vAlign w:val="bottom"/>
          </w:tcPr>
          <w:p>
            <w:pPr>
              <w:pStyle w:val="TableContents"/>
              <w:bidi w:val="0"/>
              <w:spacing w:before="0" w:after="0"/>
              <w:jc w:val="right"/>
              <w:rPr/>
            </w:pPr>
            <w:r>
              <w:rPr/>
              <w:t>61,771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1019" w:type="dxa"/>
            <w:tcBorders/>
            <w:shd w:fill="CCEEFF" w:val="clear"/>
            <w:vAlign w:val="bottom"/>
          </w:tcPr>
          <w:p>
            <w:pPr>
              <w:pStyle w:val="TableContents"/>
              <w:bidi w:val="0"/>
              <w:spacing w:before="0" w:after="0"/>
              <w:jc w:val="right"/>
              <w:rPr/>
            </w:pPr>
            <w:r>
              <w:rPr/>
              <w:t>37,820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pPr>
            <w:r>
              <w:rPr/>
              <w:t>$</w:t>
            </w:r>
          </w:p>
        </w:tc>
        <w:tc>
          <w:tcPr>
            <w:tcW w:w="1250" w:type="dxa"/>
            <w:tcBorders/>
            <w:shd w:fill="CCEEFF" w:val="clear"/>
            <w:vAlign w:val="bottom"/>
          </w:tcPr>
          <w:p>
            <w:pPr>
              <w:pStyle w:val="TableContents"/>
              <w:bidi w:val="0"/>
              <w:spacing w:before="0" w:after="0"/>
              <w:jc w:val="right"/>
              <w:rPr/>
            </w:pPr>
            <w:r>
              <w:rPr/>
              <w:t>67,906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1019" w:type="dxa"/>
            <w:tcBorders/>
            <w:shd w:fill="CCEEFF" w:val="clear"/>
            <w:vAlign w:val="bottom"/>
          </w:tcPr>
          <w:p>
            <w:pPr>
              <w:pStyle w:val="TableContents"/>
              <w:bidi w:val="0"/>
              <w:spacing w:before="0" w:after="0"/>
              <w:jc w:val="right"/>
              <w:rPr/>
            </w:pPr>
            <w:r>
              <w:rPr/>
              <w:t>40,068</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benefits payments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115,435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60,481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121,624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62,175</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b/>
              </w:rPr>
            </w:pPr>
            <w:r>
              <w:rPr>
                <w:b/>
              </w:rPr>
              <w:t>Group Life</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gross premiums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214,892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127,261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202,437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116,517</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benefits payments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237,776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74,012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222,729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66,148</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b/>
              </w:rPr>
            </w:pPr>
            <w:r>
              <w:rPr>
                <w:b/>
              </w:rPr>
              <w:t>Medicare Supplement</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gross premiums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2,264,574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1,515,989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1,642,269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1,104,499</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benefits payments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1,528,633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1,036,702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1,112,219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757,649</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b/>
              </w:rPr>
            </w:pPr>
            <w:r>
              <w:rPr>
                <w:b/>
              </w:rPr>
              <w:t>Other Individual Health</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gross premiums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76,730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55,173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66,512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45,630</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benefits payments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84,052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54,260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77,814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48,331</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Revenue Interest Accretion</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following table sets forth the amount of revenue and interest accretion (expense) recognized in net income related to our liability for future policy benefits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4" w:name="z63c641f59fa448bfbe4434fa0897b3ce"/>
      <w:bookmarkStart w:id="225" w:name="z63c641f59fa448bfbe4434fa0897b3ce"/>
      <w:bookmarkEnd w:id="225"/>
    </w:p>
    <w:tbl>
      <w:tblPr>
        <w:tblW w:w="8438" w:type="dxa"/>
        <w:jc w:val="left"/>
        <w:tblInd w:w="0" w:type="dxa"/>
        <w:tblLayout w:type="fixed"/>
        <w:tblCellMar>
          <w:top w:w="0" w:type="dxa"/>
          <w:left w:w="0" w:type="dxa"/>
          <w:bottom w:w="0" w:type="dxa"/>
          <w:right w:w="0" w:type="dxa"/>
        </w:tblCellMar>
      </w:tblPr>
      <w:tblGrid>
        <w:gridCol w:w="2900"/>
        <w:gridCol w:w="90"/>
        <w:gridCol w:w="184"/>
        <w:gridCol w:w="901"/>
        <w:gridCol w:w="90"/>
        <w:gridCol w:w="90"/>
        <w:gridCol w:w="292"/>
        <w:gridCol w:w="1017"/>
        <w:gridCol w:w="90"/>
        <w:gridCol w:w="90"/>
        <w:gridCol w:w="184"/>
        <w:gridCol w:w="901"/>
        <w:gridCol w:w="90"/>
        <w:gridCol w:w="90"/>
        <w:gridCol w:w="292"/>
        <w:gridCol w:w="1017"/>
        <w:gridCol w:w="120"/>
      </w:tblGrid>
      <w:tr>
        <w:trPr/>
        <w:tc>
          <w:tcPr>
            <w:tcW w:w="29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pPr>
            <w:r>
              <w:rPr/>
              <w:t> </w:t>
            </w:r>
          </w:p>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Premiums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p>
            <w:pPr>
              <w:pStyle w:val="TableContents"/>
              <w:bidi w:val="0"/>
              <w:spacing w:lineRule="auto" w:line="240" w:before="0" w:after="0"/>
              <w:jc w:val="center"/>
              <w:rPr>
                <w:b/>
              </w:rPr>
            </w:pPr>
            <w:r>
              <w:rPr>
                <w:b/>
              </w:rPr>
              <w:t>Accretion(1)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Premiums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p>
            <w:pPr>
              <w:pStyle w:val="TableContents"/>
              <w:bidi w:val="0"/>
              <w:spacing w:lineRule="auto" w:line="240" w:before="0" w:after="0"/>
              <w:jc w:val="center"/>
              <w:rPr>
                <w:b/>
              </w:rPr>
            </w:pPr>
            <w:r>
              <w:rPr>
                <w:b/>
              </w:rPr>
              <w:t>Accretion(1)</w:t>
            </w:r>
          </w:p>
        </w:tc>
        <w:tc>
          <w:tcPr>
            <w:tcW w:w="120" w:type="dxa"/>
            <w:tcBorders/>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b/>
              </w:rPr>
            </w:pPr>
            <w:r>
              <w:rPr>
                <w:b/>
              </w:rPr>
              <w:t>Individual life</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pPr>
            <w:r>
              <w:rPr/>
              <w:t>$</w:t>
            </w:r>
          </w:p>
        </w:tc>
        <w:tc>
          <w:tcPr>
            <w:tcW w:w="901" w:type="dxa"/>
            <w:tcBorders/>
            <w:shd w:fill="CCEEFF" w:val="clear"/>
            <w:vAlign w:val="bottom"/>
          </w:tcPr>
          <w:p>
            <w:pPr>
              <w:pStyle w:val="TableContents"/>
              <w:bidi w:val="0"/>
              <w:spacing w:before="0" w:after="0"/>
              <w:jc w:val="right"/>
              <w:rPr/>
            </w:pPr>
            <w:r>
              <w:rPr/>
              <w:t>5,782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0"/>
              <w:jc w:val="left"/>
              <w:rPr/>
            </w:pPr>
            <w:r>
              <w:rPr/>
              <w:t>$</w:t>
            </w:r>
          </w:p>
        </w:tc>
        <w:tc>
          <w:tcPr>
            <w:tcW w:w="1017" w:type="dxa"/>
            <w:tcBorders/>
            <w:shd w:fill="CCEEFF" w:val="clear"/>
            <w:vAlign w:val="bottom"/>
          </w:tcPr>
          <w:p>
            <w:pPr>
              <w:pStyle w:val="TableContents"/>
              <w:bidi w:val="0"/>
              <w:spacing w:before="0" w:after="0"/>
              <w:jc w:val="right"/>
              <w:rPr/>
            </w:pPr>
            <w:r>
              <w:rPr/>
              <w:t>2,248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pPr>
            <w:r>
              <w:rPr/>
              <w:t>$</w:t>
            </w:r>
          </w:p>
        </w:tc>
        <w:tc>
          <w:tcPr>
            <w:tcW w:w="901" w:type="dxa"/>
            <w:tcBorders/>
            <w:shd w:fill="CCEEFF" w:val="clear"/>
            <w:vAlign w:val="bottom"/>
          </w:tcPr>
          <w:p>
            <w:pPr>
              <w:pStyle w:val="TableContents"/>
              <w:bidi w:val="0"/>
              <w:spacing w:before="0" w:after="0"/>
              <w:jc w:val="right"/>
              <w:rPr/>
            </w:pPr>
            <w:r>
              <w:rPr/>
              <w:t>5,947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0"/>
              <w:jc w:val="left"/>
              <w:rPr/>
            </w:pPr>
            <w:r>
              <w:rPr/>
              <w:t>$</w:t>
            </w:r>
          </w:p>
        </w:tc>
        <w:tc>
          <w:tcPr>
            <w:tcW w:w="1017" w:type="dxa"/>
            <w:tcBorders/>
            <w:shd w:fill="CCEEFF" w:val="clear"/>
            <w:vAlign w:val="bottom"/>
          </w:tcPr>
          <w:p>
            <w:pPr>
              <w:pStyle w:val="TableContents"/>
              <w:bidi w:val="0"/>
              <w:spacing w:before="0" w:after="0"/>
              <w:jc w:val="right"/>
              <w:rPr/>
            </w:pPr>
            <w:r>
              <w:rPr/>
              <w:t>2,357</w:t>
            </w:r>
          </w:p>
        </w:tc>
        <w:tc>
          <w:tcPr>
            <w:tcW w:w="120"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b/>
              </w:rPr>
            </w:pPr>
            <w:r>
              <w:rPr>
                <w:b/>
              </w:rPr>
              <w:t>Group Life</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pPr>
            <w:r>
              <w:rPr/>
              <w:t>13,468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0"/>
              <w:jc w:val="right"/>
              <w:rPr/>
            </w:pPr>
            <w:r>
              <w:rPr/>
              <w:t>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pPr>
            <w:r>
              <w:rPr/>
              <w:t>12,834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0"/>
              <w:jc w:val="right"/>
              <w:rPr/>
            </w:pPr>
            <w:r>
              <w:rPr/>
              <w:t>626</w:t>
            </w:r>
          </w:p>
        </w:tc>
        <w:tc>
          <w:tcPr>
            <w:tcW w:w="12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b/>
              </w:rPr>
            </w:pPr>
            <w:r>
              <w:rPr>
                <w:b/>
              </w:rPr>
              <w:t>Medicare Supplement</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144,644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0"/>
              <w:jc w:val="right"/>
              <w:rPr/>
            </w:pPr>
            <w:r>
              <w:rPr/>
              <w:t>1,144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126,726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0"/>
              <w:jc w:val="right"/>
              <w:rPr/>
            </w:pPr>
            <w:r>
              <w:rPr/>
              <w:t>1,159</w:t>
            </w:r>
          </w:p>
        </w:tc>
        <w:tc>
          <w:tcPr>
            <w:tcW w:w="120"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b/>
              </w:rPr>
            </w:pPr>
            <w:r>
              <w:rPr>
                <w:b/>
              </w:rPr>
              <w:t>Other Individual Health</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9,199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7" w:type="dxa"/>
            <w:tcBorders>
              <w:bottom w:val="single" w:sz="12" w:space="0" w:color="000000"/>
            </w:tcBorders>
            <w:tcMar>
              <w:bottom w:w="28" w:type="dxa"/>
            </w:tcMar>
            <w:vAlign w:val="bottom"/>
          </w:tcPr>
          <w:p>
            <w:pPr>
              <w:pStyle w:val="TableContents"/>
              <w:bidi w:val="0"/>
              <w:spacing w:before="0" w:after="0"/>
              <w:jc w:val="right"/>
              <w:rPr/>
            </w:pPr>
            <w:r>
              <w:rPr/>
              <w:t>916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8,042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7" w:type="dxa"/>
            <w:tcBorders>
              <w:bottom w:val="single" w:sz="12" w:space="0" w:color="000000"/>
            </w:tcBorders>
            <w:tcMar>
              <w:bottom w:w="28" w:type="dxa"/>
            </w:tcMar>
            <w:vAlign w:val="bottom"/>
          </w:tcPr>
          <w:p>
            <w:pPr>
              <w:pStyle w:val="TableContents"/>
              <w:bidi w:val="0"/>
              <w:spacing w:before="0" w:after="0"/>
              <w:jc w:val="right"/>
              <w:rPr/>
            </w:pPr>
            <w:r>
              <w:rPr/>
              <w:t>816</w:t>
            </w:r>
          </w:p>
        </w:tc>
        <w:tc>
          <w:tcPr>
            <w:tcW w:w="12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173,093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7" w:type="dxa"/>
            <w:tcBorders>
              <w:bottom w:val="double" w:sz="8" w:space="0" w:color="000000"/>
            </w:tcBorders>
            <w:shd w:fill="CCEEFF" w:val="clear"/>
            <w:tcMar>
              <w:bottom w:w="28" w:type="dxa"/>
            </w:tcMar>
            <w:vAlign w:val="bottom"/>
          </w:tcPr>
          <w:p>
            <w:pPr>
              <w:pStyle w:val="TableContents"/>
              <w:bidi w:val="0"/>
              <w:spacing w:before="0" w:after="0"/>
              <w:jc w:val="right"/>
              <w:rPr/>
            </w:pPr>
            <w:r>
              <w:rPr/>
              <w:t>5,226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153,549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7" w:type="dxa"/>
            <w:tcBorders>
              <w:bottom w:val="double" w:sz="8" w:space="0" w:color="000000"/>
            </w:tcBorders>
            <w:shd w:fill="CCEEFF" w:val="clear"/>
            <w:tcMar>
              <w:bottom w:w="28" w:type="dxa"/>
            </w:tcMar>
            <w:vAlign w:val="bottom"/>
          </w:tcPr>
          <w:p>
            <w:pPr>
              <w:pStyle w:val="TableContents"/>
              <w:bidi w:val="0"/>
              <w:spacing w:before="0" w:after="0"/>
              <w:jc w:val="right"/>
              <w:rPr/>
            </w:pPr>
            <w:r>
              <w:rPr/>
              <w:t>4,958</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6" w:name="z6e92c14ca93f4955bbffe7ce458426fe"/>
      <w:bookmarkStart w:id="227" w:name="z6e92c14ca93f4955bbffe7ce458426fe"/>
      <w:bookmarkEnd w:id="227"/>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lineRule="auto" w:line="240" w:before="0" w:after="283"/>
              <w:jc w:val="left"/>
              <w:rPr/>
            </w:pPr>
            <w:r>
              <w:rPr/>
              <w:t>(1) </w:t>
            </w:r>
          </w:p>
        </w:tc>
        <w:tc>
          <w:tcPr>
            <w:tcW w:w="9845" w:type="dxa"/>
            <w:tcBorders/>
            <w:vAlign w:val="center"/>
          </w:tcPr>
          <w:p>
            <w:pPr>
              <w:pStyle w:val="TableContents"/>
              <w:bidi w:val="0"/>
              <w:spacing w:before="0" w:after="0"/>
              <w:jc w:val="both"/>
              <w:rPr/>
            </w:pPr>
            <w:r>
              <w:rPr/>
              <w:t>Amounts for interest accretion are included in benefits and other changes in policy reserves in the consolidated statement of operations.</w:t>
            </w:r>
          </w:p>
        </w:tc>
      </w:tr>
    </w:tbl>
    <w:p>
      <w:pPr>
        <w:pStyle w:val="TextBody"/>
        <w:bidi w:val="0"/>
        <w:spacing w:before="0" w:after="0"/>
        <w:ind w:left="2" w:right="2" w:hanging="0"/>
        <w:jc w:val="left"/>
        <w:rPr/>
      </w:pPr>
      <w:r>
        <w:rPr/>
        <w:t> </w:t>
      </w:r>
    </w:p>
    <w:p>
      <w:pPr>
        <w:pStyle w:val="TextBody"/>
        <w:bidi w:val="0"/>
        <w:spacing w:before="0" w:after="0"/>
        <w:ind w:left="2" w:right="2" w:hanging="0"/>
        <w:jc w:val="left"/>
        <w:rPr>
          <w:rFonts w:ascii="Times New Roman" w:hAnsi="Times New Roman"/>
          <w:b/>
          <w:sz w:val="20"/>
        </w:rPr>
      </w:pPr>
      <w:r>
        <w:rPr>
          <w:rFonts w:ascii="Times New Roman" w:hAnsi="Times New Roman"/>
          <w:b/>
          <w:sz w:val="20"/>
        </w:rPr>
        <w:t>Note 8. Other Insurance Reserves and Policyholder Funds</w:t>
      </w:r>
    </w:p>
    <w:p>
      <w:pPr>
        <w:pStyle w:val="TextBody"/>
        <w:bidi w:val="0"/>
        <w:spacing w:before="0" w:after="0"/>
        <w:jc w:val="both"/>
        <w:rPr/>
      </w:pPr>
      <w:r>
        <w:rPr/>
      </w:r>
    </w:p>
    <w:p>
      <w:pPr>
        <w:pStyle w:val="TextBody"/>
        <w:bidi w:val="0"/>
        <w:spacing w:before="0" w:after="0"/>
        <w:jc w:val="both"/>
        <w:rPr>
          <w:rFonts w:ascii="Times New Roman" w:hAnsi="Times New Roman"/>
          <w:b/>
          <w:i/>
          <w:sz w:val="20"/>
        </w:rPr>
      </w:pPr>
      <w:r>
        <w:rPr>
          <w:rFonts w:ascii="Times New Roman" w:hAnsi="Times New Roman"/>
          <w:b/>
          <w:i/>
          <w:sz w:val="20"/>
        </w:rPr>
        <w:t>Loss and Claim 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Loss and claim reserves represent estimates of projected ultimate losses and are based upon: (a) management’s estimate of ultimate liability and claims adjusters’ evaluations for unpaid claims reported prior to the close of the accounting period, (b) estimates of IBNR claims based on past experience, and (c) estimates of loss adjustment expenses. The estimated liability is periodically reviewed by management and updated, with changes to the estimated liability recorded in the statement of operations in the year in which such changes are known.</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Activity in the liability for unpaid loss and claim reserves is summarized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8" w:name="zf28cb4682a8c42f7b89f0e91b2513f11"/>
      <w:bookmarkStart w:id="229" w:name="zf28cb4682a8c42f7b89f0e91b2513f11"/>
      <w:bookmarkEnd w:id="229"/>
    </w:p>
    <w:tbl>
      <w:tblPr>
        <w:tblW w:w="7520" w:type="dxa"/>
        <w:jc w:val="left"/>
        <w:tblInd w:w="0" w:type="dxa"/>
        <w:tblLayout w:type="fixed"/>
        <w:tblCellMar>
          <w:top w:w="0" w:type="dxa"/>
          <w:left w:w="0" w:type="dxa"/>
          <w:bottom w:w="0" w:type="dxa"/>
          <w:right w:w="0" w:type="dxa"/>
        </w:tblCellMar>
      </w:tblPr>
      <w:tblGrid>
        <w:gridCol w:w="4550"/>
        <w:gridCol w:w="90"/>
        <w:gridCol w:w="170"/>
        <w:gridCol w:w="830"/>
        <w:gridCol w:w="380"/>
        <w:gridCol w:w="90"/>
        <w:gridCol w:w="170"/>
        <w:gridCol w:w="830"/>
        <w:gridCol w:w="410"/>
      </w:tblGrid>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Balance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93,707</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87,478</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Less: Reinsurance recoverable on unpaid losses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(17,390</w:t>
            </w:r>
          </w:p>
        </w:tc>
        <w:tc>
          <w:tcPr>
            <w:tcW w:w="380" w:type="dxa"/>
            <w:tcBorders/>
            <w:vAlign w:val="bottom"/>
          </w:tcPr>
          <w:p>
            <w:pPr>
              <w:pStyle w:val="TableContents"/>
              <w:bidi w:val="0"/>
              <w:spacing w:before="0" w:after="283"/>
              <w:jc w:val="left"/>
              <w:rPr/>
            </w:pPr>
            <w:r>
              <w:rPr/>
              <w:t xml:space="preserve">)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(14,678</w:t>
            </w:r>
          </w:p>
        </w:tc>
        <w:tc>
          <w:tcPr>
            <w:tcW w:w="410" w:type="dxa"/>
            <w:tcBorders/>
            <w:vAlign w:val="bottom"/>
          </w:tcPr>
          <w:p>
            <w:pPr>
              <w:pStyle w:val="TableContents"/>
              <w:bidi w:val="0"/>
              <w:spacing w:before="0" w:after="283"/>
              <w:jc w:val="left"/>
              <w:rPr/>
            </w:pPr>
            <w:r>
              <w:rPr/>
              <w:t>)</w:t>
            </w:r>
          </w:p>
        </w:tc>
      </w:tr>
      <w:tr>
        <w:trPr/>
        <w:tc>
          <w:tcPr>
            <w:tcW w:w="4550" w:type="dxa"/>
            <w:tcBorders/>
            <w:shd w:fill="CCEEFF" w:val="clear"/>
            <w:vAlign w:val="bottom"/>
          </w:tcPr>
          <w:p>
            <w:pPr>
              <w:pStyle w:val="TableContents"/>
              <w:bidi w:val="0"/>
              <w:spacing w:before="0" w:after="0"/>
              <w:ind w:left="0" w:right="0" w:firstLine="150"/>
              <w:jc w:val="left"/>
              <w:rPr/>
            </w:pPr>
            <w:r>
              <w:rPr/>
              <w:t>Net balance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76,317</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72,800</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Incurred related to:</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0" w:right="0" w:firstLine="150"/>
              <w:jc w:val="left"/>
              <w:rPr/>
            </w:pPr>
            <w:r>
              <w:rPr/>
              <w:t>Current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123,043</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112,393</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0" w:right="0" w:firstLine="150"/>
              <w:jc w:val="left"/>
              <w:rPr/>
            </w:pPr>
            <w:r>
              <w:rPr/>
              <w:t>Prior years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1,076</w:t>
            </w:r>
          </w:p>
        </w:tc>
        <w:tc>
          <w:tcPr>
            <w:tcW w:w="380" w:type="dxa"/>
            <w:tcBorders/>
            <w:shd w:fill="CCEEFF" w:val="clear"/>
            <w:vAlign w:val="bottom"/>
          </w:tcPr>
          <w:p>
            <w:pPr>
              <w:pStyle w:val="TableContents"/>
              <w:bidi w:val="0"/>
              <w:spacing w:lineRule="auto" w:line="240" w:before="0" w:after="0"/>
              <w:jc w:val="left"/>
              <w:rPr/>
            </w:pPr>
            <w:r>
              <w:rPr/>
              <w:t>(1)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5,708</w:t>
            </w:r>
          </w:p>
        </w:tc>
        <w:tc>
          <w:tcPr>
            <w:tcW w:w="410" w:type="dxa"/>
            <w:tcBorders/>
            <w:shd w:fill="CCEEFF" w:val="clear"/>
            <w:vAlign w:val="bottom"/>
          </w:tcPr>
          <w:p>
            <w:pPr>
              <w:pStyle w:val="TableContents"/>
              <w:bidi w:val="0"/>
              <w:spacing w:lineRule="auto" w:line="240" w:before="0" w:after="0"/>
              <w:jc w:val="left"/>
              <w:rPr/>
            </w:pPr>
            <w:r>
              <w:rPr/>
              <w:t>(2) </w:t>
            </w:r>
          </w:p>
        </w:tc>
      </w:tr>
      <w:tr>
        <w:trPr/>
        <w:tc>
          <w:tcPr>
            <w:tcW w:w="4550" w:type="dxa"/>
            <w:tcBorders/>
            <w:vAlign w:val="bottom"/>
          </w:tcPr>
          <w:p>
            <w:pPr>
              <w:pStyle w:val="TableContents"/>
              <w:bidi w:val="0"/>
              <w:spacing w:before="0" w:after="0"/>
              <w:ind w:left="0" w:right="0" w:firstLine="150"/>
              <w:jc w:val="left"/>
              <w:rPr/>
            </w:pPr>
            <w:r>
              <w:rPr/>
              <w:t>Total incurred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124,119</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118,101</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Paid related to:</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Current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64,115</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64,300</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Prior years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41,783</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50,284</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Total paid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105,898</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114,584</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Net balance at December 31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94,538</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76,317</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Plus: Reinsurance recoverable on unpaid losses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19,298</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17,390</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Balance at December 31</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113,836</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93,707</w:t>
            </w:r>
          </w:p>
        </w:tc>
        <w:tc>
          <w:tcPr>
            <w:tcW w:w="4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2" w:firstLine="540"/>
        <w:jc w:val="both"/>
        <w:rPr>
          <w:rFonts w:ascii="Times New Roman" w:hAnsi="Times New Roman"/>
          <w:sz w:val="20"/>
        </w:rPr>
      </w:pPr>
      <w:r>
        <w:rPr>
          <w:rFonts w:ascii="Times New Roman" w:hAnsi="Times New Roman"/>
          <w:sz w:val="20"/>
        </w:rPr>
        <w:t>(1) Prior years’ development was primarily the result of unfavorable development in the property and casualty operations predominately in the automobile liability line of business due to reserve strengthening, partially offset by favorable development in the Medicare Supplement line of business in the life and health segment.</w:t>
      </w:r>
    </w:p>
    <w:p>
      <w:pPr>
        <w:pStyle w:val="TextBody"/>
        <w:bidi w:val="0"/>
        <w:spacing w:before="0" w:after="0"/>
        <w:jc w:val="left"/>
        <w:rPr/>
      </w:pPr>
      <w:r>
        <w:rPr/>
        <w:t> </w:t>
      </w:r>
    </w:p>
    <w:p>
      <w:pPr>
        <w:pStyle w:val="TextBody"/>
        <w:bidi w:val="0"/>
        <w:spacing w:before="0" w:after="0"/>
        <w:ind w:left="0" w:right="4" w:firstLine="540"/>
        <w:jc w:val="both"/>
        <w:rPr>
          <w:rFonts w:ascii="Times New Roman" w:hAnsi="Times New Roman"/>
          <w:sz w:val="20"/>
        </w:rPr>
      </w:pPr>
      <w:r>
        <w:rPr>
          <w:rFonts w:ascii="Times New Roman" w:hAnsi="Times New Roman"/>
          <w:sz w:val="20"/>
        </w:rPr>
        <w:t>(2) Prior years’ development was primarily the result of unfavorable development in the property and casualty operations in the automobile liability line of business due to frequency and severity in the inflationary factors, as well as unfavorable development in the 2021 and 2022 accident years.</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Following is a reconciliation of total incurred losses to total insurance benefits and losses incurred: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0" w:name="za11698bba7984cc189347fe168b0b8c5"/>
      <w:bookmarkStart w:id="231" w:name="za11698bba7984cc189347fe168b0b8c5"/>
      <w:bookmarkEnd w:id="231"/>
    </w:p>
    <w:tbl>
      <w:tblPr>
        <w:tblW w:w="6979" w:type="dxa"/>
        <w:jc w:val="left"/>
        <w:tblInd w:w="0" w:type="dxa"/>
        <w:tblLayout w:type="fixed"/>
        <w:tblCellMar>
          <w:top w:w="0" w:type="dxa"/>
          <w:left w:w="0" w:type="dxa"/>
          <w:bottom w:w="0" w:type="dxa"/>
          <w:right w:w="0" w:type="dxa"/>
        </w:tblCellMar>
      </w:tblPr>
      <w:tblGrid>
        <w:gridCol w:w="4580"/>
        <w:gridCol w:w="90"/>
        <w:gridCol w:w="170"/>
        <w:gridCol w:w="830"/>
        <w:gridCol w:w="90"/>
        <w:gridCol w:w="90"/>
        <w:gridCol w:w="171"/>
        <w:gridCol w:w="838"/>
        <w:gridCol w:w="120"/>
      </w:tblGrid>
      <w:tr>
        <w:trPr/>
        <w:tc>
          <w:tcPr>
            <w:tcW w:w="45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0"/>
              <w:jc w:val="center"/>
              <w:rPr/>
            </w:pPr>
            <w:r>
              <w:rPr/>
              <w:t>(Restated)</w:t>
            </w:r>
          </w:p>
        </w:tc>
        <w:tc>
          <w:tcPr>
            <w:tcW w:w="12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jc w:val="left"/>
              <w:rPr/>
            </w:pPr>
            <w:r>
              <w:rPr/>
              <w:t>Total incurred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124,119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118,101</w:t>
            </w:r>
          </w:p>
        </w:tc>
        <w:tc>
          <w:tcPr>
            <w:tcW w:w="120" w:type="dxa"/>
            <w:tcBorders/>
            <w:shd w:fill="CCEEFF" w:val="clear"/>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0"/>
              <w:jc w:val="left"/>
              <w:rPr/>
            </w:pPr>
            <w:r>
              <w:rPr/>
              <w:t>Cash surrender value and matured endowments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2,001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1,340</w:t>
            </w:r>
          </w:p>
        </w:tc>
        <w:tc>
          <w:tcPr>
            <w:tcW w:w="12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jc w:val="left"/>
              <w:rPr/>
            </w:pPr>
            <w:r>
              <w:rPr/>
              <w:t>Benefit reserve changes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6,555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2,303</w:t>
            </w:r>
          </w:p>
        </w:tc>
        <w:tc>
          <w:tcPr>
            <w:tcW w:w="120" w:type="dxa"/>
            <w:tcBorders/>
            <w:shd w:fill="CCEEFF" w:val="clear"/>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lineRule="auto" w:line="240" w:before="0" w:after="0"/>
              <w:ind w:left="0" w:right="0" w:firstLine="150"/>
              <w:jc w:val="left"/>
              <w:rPr/>
            </w:pPr>
            <w:r>
              <w:rPr/>
              <w:t>Total insurance benefits and losses incurred(1)</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132,675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pPr>
            <w:r>
              <w:rPr/>
              <w:t>$</w:t>
            </w:r>
          </w:p>
        </w:tc>
        <w:tc>
          <w:tcPr>
            <w:tcW w:w="838" w:type="dxa"/>
            <w:tcBorders>
              <w:bottom w:val="double" w:sz="8" w:space="0" w:color="000000"/>
            </w:tcBorders>
            <w:tcMar>
              <w:bottom w:w="28" w:type="dxa"/>
            </w:tcMar>
            <w:vAlign w:val="bottom"/>
          </w:tcPr>
          <w:p>
            <w:pPr>
              <w:pStyle w:val="TableContents"/>
              <w:bidi w:val="0"/>
              <w:spacing w:before="0" w:after="0"/>
              <w:jc w:val="right"/>
              <w:rPr/>
            </w:pPr>
            <w:r>
              <w:rPr/>
              <w:t>121,744</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(1) This line is net of LFPB remeasurement gain of $4,866 and $2,334 for 2025 and 2024, respectively.</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i/>
          <w:sz w:val="20"/>
        </w:rPr>
      </w:pPr>
      <w:r>
        <w:rPr>
          <w:rFonts w:ascii="Times New Roman" w:hAnsi="Times New Roman"/>
          <w:b/>
          <w:i/>
          <w:sz w:val="20"/>
        </w:rPr>
        <w:t>Liability for Unpaid Losses, Claims and Loss Adjustment Expenses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is information, by significant product lines, about incurred and paid claims development as of December 31, 2025, net of reinsurance, as well as the cumulative number of reported claims and the total of IBNR reserves plus expected development on reported claims included within the net incurred claims amounts. The information presented for the years ended December 31, 2024 and prior is presented as supplementary information and is unaudited.</w:t>
      </w:r>
    </w:p>
    <w:p>
      <w:pPr>
        <w:pStyle w:val="TextBody"/>
        <w:bidi w:val="0"/>
        <w:spacing w:before="0" w:after="0"/>
        <w:jc w:val="both"/>
        <w:rPr/>
      </w:pPr>
      <w:r>
        <w:rPr/>
      </w:r>
    </w:p>
    <w:p>
      <w:pPr>
        <w:pStyle w:val="TextBody"/>
        <w:bidi w:val="0"/>
        <w:spacing w:before="0" w:after="0"/>
        <w:jc w:val="both"/>
        <w:rPr>
          <w:rFonts w:ascii="Times New Roman" w:hAnsi="Times New Roman"/>
          <w:b/>
          <w:sz w:val="20"/>
          <w:u w:val="single"/>
        </w:rPr>
      </w:pPr>
      <w:r>
        <w:rPr>
          <w:rFonts w:ascii="Times New Roman" w:hAnsi="Times New Roman"/>
          <w:b/>
          <w:sz w:val="20"/>
          <w:u w:val="single"/>
        </w:rPr>
        <w:t>Medicare Supplement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2" w:name="z192eed2f2c4843eda3bf0c32888475f4"/>
      <w:bookmarkStart w:id="233" w:name="z192eed2f2c4843eda3bf0c32888475f4"/>
      <w:bookmarkEnd w:id="233"/>
    </w:p>
    <w:tbl>
      <w:tblPr>
        <w:tblW w:w="14245" w:type="dxa"/>
        <w:jc w:val="left"/>
        <w:tblInd w:w="0" w:type="dxa"/>
        <w:tblLayout w:type="fixed"/>
        <w:tblCellMar>
          <w:top w:w="0" w:type="dxa"/>
          <w:left w:w="0" w:type="dxa"/>
          <w:bottom w:w="0" w:type="dxa"/>
          <w:right w:w="0" w:type="dxa"/>
        </w:tblCellMar>
      </w:tblPr>
      <w:tblGrid>
        <w:gridCol w:w="95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90"/>
        <w:gridCol w:w="90"/>
        <w:gridCol w:w="198"/>
        <w:gridCol w:w="752"/>
        <w:gridCol w:w="90"/>
        <w:gridCol w:w="90"/>
        <w:gridCol w:w="163"/>
        <w:gridCol w:w="1072"/>
        <w:gridCol w:w="120"/>
      </w:tblGrid>
      <w:tr>
        <w:trPr/>
        <w:tc>
          <w:tcPr>
            <w:tcW w:w="11580" w:type="dxa"/>
            <w:gridSpan w:val="40"/>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20"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center"/>
              <w:rPr/>
            </w:pPr>
            <w:r>
              <w:rPr/>
              <w:t> </w:t>
            </w:r>
          </w:p>
        </w:tc>
        <w:tc>
          <w:tcPr>
            <w:tcW w:w="95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center"/>
              <w:rPr/>
            </w:pPr>
            <w:r>
              <w:rPr/>
              <w:t> </w:t>
            </w:r>
          </w:p>
        </w:tc>
        <w:tc>
          <w:tcPr>
            <w:tcW w:w="1235"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20" w:type="dxa"/>
            <w:vMerge w:val="restart"/>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vAlign w:val="bottom"/>
          </w:tcPr>
          <w:p>
            <w:pPr>
              <w:pStyle w:val="TableContents"/>
              <w:bidi w:val="0"/>
              <w:spacing w:before="0" w:after="0"/>
              <w:jc w:val="center"/>
              <w:rPr>
                <w:b/>
              </w:rPr>
            </w:pPr>
            <w:r>
              <w:rPr>
                <w:b/>
              </w:rPr>
              <w:t>Incurred Losses, Claims and Allocated Loss Adjustment Expenses, Net of</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r>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Reinsurance</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r>
      <w:tr>
        <w:trPr/>
        <w:tc>
          <w:tcPr>
            <w:tcW w:w="950"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r>
      <w:tr>
        <w:trPr/>
        <w:tc>
          <w:tcPr>
            <w:tcW w:w="950"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58,849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59,851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0"/>
              <w:jc w:val="left"/>
              <w:rPr>
                <w:b/>
              </w:rPr>
            </w:pPr>
            <w:r>
              <w:rPr>
                <w:b/>
              </w:rPr>
              <w:t>$</w:t>
            </w:r>
          </w:p>
        </w:tc>
        <w:tc>
          <w:tcPr>
            <w:tcW w:w="752" w:type="dxa"/>
            <w:tcBorders/>
            <w:shd w:fill="CCEEFF" w:val="clear"/>
            <w:vAlign w:val="bottom"/>
          </w:tcPr>
          <w:p>
            <w:pPr>
              <w:pStyle w:val="TableContents"/>
              <w:bidi w:val="0"/>
              <w:spacing w:before="0" w:after="0"/>
              <w:jc w:val="right"/>
              <w:rPr>
                <w:b/>
              </w:rPr>
            </w:pPr>
            <w:r>
              <w:rPr>
                <w:b/>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1,879</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67,960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2,929</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79,140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80,404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4,106</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88,765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87,028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4,494</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75,857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75,709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3,706</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65,267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61,579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61,727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3,543</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58,777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56,047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55,970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55,911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4,214</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48,367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47,029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47,098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4,320</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43,708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39,863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474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3,797</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41,383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12,033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2,014</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621,871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4" w:name="z6bd6e51944b24b2ab970d10d6e56d99e"/>
      <w:bookmarkStart w:id="235" w:name="z6bd6e51944b24b2ab970d10d6e56d99e"/>
      <w:bookmarkEnd w:id="235"/>
    </w:p>
    <w:tbl>
      <w:tblPr>
        <w:tblW w:w="11700" w:type="dxa"/>
        <w:jc w:val="left"/>
        <w:tblInd w:w="0" w:type="dxa"/>
        <w:tblLayout w:type="fixed"/>
        <w:tblCellMar>
          <w:top w:w="0" w:type="dxa"/>
          <w:left w:w="0" w:type="dxa"/>
          <w:bottom w:w="0" w:type="dxa"/>
          <w:right w:w="0" w:type="dxa"/>
        </w:tblCellMar>
      </w:tblPr>
      <w:tblGrid>
        <w:gridCol w:w="95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120"/>
      </w:tblGrid>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20" w:type="dxa"/>
            <w:tcBorders/>
            <w:vAlign w:val="bottom"/>
          </w:tcPr>
          <w:p>
            <w:pPr>
              <w:pStyle w:val="TableContents"/>
              <w:bidi w:val="0"/>
              <w:spacing w:before="0" w:after="283"/>
              <w:jc w:val="left"/>
              <w:rPr/>
            </w:pPr>
            <w:r>
              <w:rPr/>
              <w:t> </w:t>
            </w:r>
          </w:p>
        </w:tc>
      </w:tr>
      <w:tr>
        <w:trPr/>
        <w:tc>
          <w:tcPr>
            <w:tcW w:w="950"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49,165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59,747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63,221</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57,696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69,517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69,633</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66,565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80,222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80,348</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72,333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86,856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86,978</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63,129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75,527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75,709</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50,197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61,350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61,727</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46,111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55,808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55,920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55,900</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36,388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46,795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47,032</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39,389</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29,350</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609,287</w:t>
            </w:r>
          </w:p>
        </w:tc>
        <w:tc>
          <w:tcPr>
            <w:tcW w:w="120" w:type="dxa"/>
            <w:tcBorders/>
            <w:shd w:fill="CCEEFF" w:val="clear"/>
            <w:vAlign w:val="bottom"/>
          </w:tcPr>
          <w:p>
            <w:pPr>
              <w:pStyle w:val="TableContents"/>
              <w:bidi w:val="0"/>
              <w:spacing w:before="0" w:after="283"/>
              <w:jc w:val="left"/>
              <w:rPr/>
            </w:pPr>
            <w:r>
              <w:rPr/>
              <w:t> </w:t>
            </w:r>
          </w:p>
        </w:tc>
      </w:tr>
      <w:tr>
        <w:trPr/>
        <w:tc>
          <w:tcPr>
            <w:tcW w:w="10400" w:type="dxa"/>
            <w:gridSpan w:val="36"/>
            <w:tcBorders/>
            <w:vAlign w:val="bottom"/>
          </w:tcPr>
          <w:p>
            <w:pPr>
              <w:pStyle w:val="TableContents"/>
              <w:bidi w:val="0"/>
              <w:spacing w:before="0" w:after="0"/>
              <w:jc w:val="right"/>
              <w:rPr/>
            </w:pPr>
            <w:r>
              <w:rPr/>
              <w:t>Liabilities for losses, claims and loss adjustment expenses, net of reinsurance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12,584</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cumulative number of reported claims for the Medicare Supplement line of business is the number of distinct claims incurred and submitted to the Centers for Medicare and Medicaid Services (or its designee) for payment in the given year. Multiple payments on the same claim are not counted in the claim frequency data. For Medicare Supplement policies, the estimated ultimate claims incurred, using claims data reported during each month of any given year, are calculated using the chain ladder method. Because claim patterns vary significantly during the year, this method is modified to reflect claim experience over the corresponding four-month period prior to the statement date during the prior two calendar years, and recent claim experience during a twelve-month period from sixteen months prior to the valuation date through five months prior to the valuation date. Additional adjustments to the estimated ultimate claims incurred are then applied to account for seasonal changes in claim experience and changes in the rate of claim processing. The liability for Medicare Supplement claims that are Incurred but Not Reported (the IBNR) is calculated by subtracting both paid claims through the valuation date and claims in the course of settlement as of the valuation date from the estimated ultimate claims. Thirty-six months of loss data are used to develop the estimated ultimate incurred claims. For other accident and health products and life products, similar approaches are used and modified to reflect the unique aspects of the products.</w:t>
      </w:r>
    </w:p>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u w:val="single"/>
        </w:rPr>
      </w:pPr>
      <w:r>
        <w:rPr>
          <w:rFonts w:ascii="Times New Roman" w:hAnsi="Times New Roman"/>
          <w:b/>
          <w:sz w:val="20"/>
          <w:u w:val="single"/>
        </w:rPr>
        <w:t>Automobile Liability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6" w:name="zbcb68feedd8242e4bc8927b5839c570c"/>
      <w:bookmarkStart w:id="237" w:name="zbcb68feedd8242e4bc8927b5839c570c"/>
      <w:bookmarkEnd w:id="237"/>
    </w:p>
    <w:tbl>
      <w:tblPr>
        <w:tblW w:w="14275" w:type="dxa"/>
        <w:jc w:val="left"/>
        <w:tblInd w:w="0" w:type="dxa"/>
        <w:tblLayout w:type="fixed"/>
        <w:tblCellMar>
          <w:top w:w="0" w:type="dxa"/>
          <w:left w:w="0" w:type="dxa"/>
          <w:bottom w:w="0" w:type="dxa"/>
          <w:right w:w="0" w:type="dxa"/>
        </w:tblCellMar>
      </w:tblPr>
      <w:tblGrid>
        <w:gridCol w:w="965"/>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90"/>
        <w:gridCol w:w="90"/>
        <w:gridCol w:w="198"/>
        <w:gridCol w:w="752"/>
        <w:gridCol w:w="90"/>
        <w:gridCol w:w="90"/>
        <w:gridCol w:w="163"/>
        <w:gridCol w:w="1072"/>
        <w:gridCol w:w="135"/>
      </w:tblGrid>
      <w:tr>
        <w:trPr/>
        <w:tc>
          <w:tcPr>
            <w:tcW w:w="965" w:type="dxa"/>
            <w:vMerge w:val="restart"/>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0540" w:type="dxa"/>
            <w:gridSpan w:val="38"/>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vMerge w:val="continue"/>
            <w:tcBorders/>
            <w:vAlign w:val="bottom"/>
          </w:tcPr>
          <w:p>
            <w:pPr>
              <w:pStyle w:val="Normal"/>
              <w:bidi w:val="0"/>
              <w:jc w:val="left"/>
              <w:rPr/>
            </w:pPr>
            <w:r>
              <w:rPr/>
            </w:r>
          </w:p>
        </w:tc>
        <w:tc>
          <w:tcPr>
            <w:tcW w:w="90" w:type="dxa"/>
            <w:vMerge w:val="restart"/>
            <w:tcBorders/>
            <w:vAlign w:val="bottom"/>
          </w:tcPr>
          <w:p>
            <w:pPr>
              <w:pStyle w:val="TableContents"/>
              <w:bidi w:val="0"/>
              <w:spacing w:before="0" w:after="283"/>
              <w:jc w:val="left"/>
              <w:rPr/>
            </w:pPr>
            <w:r>
              <w:rPr/>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5" w:type="dxa"/>
            <w:vMerge w:val="restart"/>
            <w:tcBorders/>
            <w:vAlign w:val="bottom"/>
          </w:tcPr>
          <w:p>
            <w:pPr>
              <w:pStyle w:val="TableContents"/>
              <w:bidi w:val="0"/>
              <w:spacing w:before="0" w:after="283"/>
              <w:jc w:val="left"/>
              <w:rPr/>
            </w:pPr>
            <w:r>
              <w:rPr/>
            </w:r>
          </w:p>
        </w:tc>
      </w:tr>
      <w:tr>
        <w:trPr/>
        <w:tc>
          <w:tcPr>
            <w:tcW w:w="965"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Incurred Losses, Claims and Allocated Loss Adjustment Expenses, Net of</w:t>
            </w:r>
          </w:p>
          <w:p>
            <w:pPr>
              <w:pStyle w:val="TableContents"/>
              <w:bidi w:val="0"/>
              <w:spacing w:before="0" w:after="0"/>
              <w:jc w:val="center"/>
              <w:rPr>
                <w:b/>
              </w:rPr>
            </w:pPr>
            <w:r>
              <w:rPr>
                <w:b/>
              </w:rPr>
              <w:t>Reinsurance</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20,549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21,275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21,846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22,388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3,863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22,179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24,212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23,766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25,180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26,009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26,153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26,255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0"/>
              <w:jc w:val="left"/>
              <w:rPr/>
            </w:pPr>
            <w:r>
              <w:rPr/>
              <w:t>$</w:t>
            </w:r>
          </w:p>
        </w:tc>
        <w:tc>
          <w:tcPr>
            <w:tcW w:w="752" w:type="dxa"/>
            <w:tcBorders/>
            <w:vAlign w:val="bottom"/>
          </w:tcPr>
          <w:p>
            <w:pPr>
              <w:pStyle w:val="TableContents"/>
              <w:bidi w:val="0"/>
              <w:spacing w:before="0" w:after="0"/>
              <w:jc w:val="right"/>
              <w:rPr/>
            </w:pPr>
            <w:r>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3,813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24,284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25,682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27,338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30,013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30,464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31,135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31,170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31,154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3,651</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25,241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24,045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28,042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28,513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29,216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29,384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3,608</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22,416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16,442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20,137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21,164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21,459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21,066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2,523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25,887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21,172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24,957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27,041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26,866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215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2,794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28,860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27,293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31,633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33,348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1,379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2,933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33,266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33,626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39,468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3,408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2,986</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34,105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31,049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3,955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2,808</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42,314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22,340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2,371</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303,352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8" w:name="z3a4d60d2523b480fb47db8beefdd565e"/>
      <w:bookmarkStart w:id="239" w:name="z3a4d60d2523b480fb47db8beefdd565e"/>
      <w:bookmarkEnd w:id="239"/>
    </w:p>
    <w:tbl>
      <w:tblPr>
        <w:tblW w:w="11610"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2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35" w:type="dxa"/>
            <w:tcBorders/>
            <w:vAlign w:val="bottom"/>
          </w:tcPr>
          <w:p>
            <w:pPr>
              <w:pStyle w:val="TableContents"/>
              <w:bidi w:val="0"/>
              <w:spacing w:before="0" w:after="283"/>
              <w:jc w:val="left"/>
              <w:rPr/>
            </w:pPr>
            <w:r>
              <w:rPr/>
              <w:t> </w:t>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6,796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13,141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16,397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19,613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21,408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21,809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22,448</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7,401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16,317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20,221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22,778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25,712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26,249</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6,989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15,647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21,121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24,662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27,671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29,201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30,507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31,057</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7,305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14,694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19,384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22,868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26,126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28,778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29,025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5,172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14,693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18,133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20,466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20,553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6,242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13,918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19,230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24,798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25,552</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7,023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18,010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24,137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29,123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9,068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22,232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29,019</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8,939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18,929</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8,193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240,148</w:t>
            </w:r>
          </w:p>
        </w:tc>
        <w:tc>
          <w:tcPr>
            <w:tcW w:w="135" w:type="dxa"/>
            <w:tcBorders/>
            <w:shd w:fill="CCEEFF" w:val="clear"/>
            <w:vAlign w:val="bottom"/>
          </w:tcPr>
          <w:p>
            <w:pPr>
              <w:pStyle w:val="TableContents"/>
              <w:bidi w:val="0"/>
              <w:spacing w:before="0" w:after="283"/>
              <w:jc w:val="left"/>
              <w:rPr/>
            </w:pPr>
            <w:r>
              <w:rPr/>
              <w:t> </w:t>
            </w:r>
          </w:p>
        </w:tc>
      </w:tr>
      <w:tr>
        <w:trPr/>
        <w:tc>
          <w:tcPr>
            <w:tcW w:w="10295" w:type="dxa"/>
            <w:gridSpan w:val="36"/>
            <w:tcBorders/>
            <w:vAlign w:val="bottom"/>
          </w:tcPr>
          <w:p>
            <w:pPr>
              <w:pStyle w:val="TableContents"/>
              <w:bidi w:val="0"/>
              <w:spacing w:before="0" w:after="0"/>
              <w:jc w:val="right"/>
              <w:rPr/>
            </w:pPr>
            <w:r>
              <w:rPr/>
              <w:t>Liabilities for losses, claims and loss adjustment expenses, net of reinsurance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63,204</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Automobile Physical Damage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0" w:name="zc3a988539ee34b34acba44c9f1a42ac2"/>
      <w:bookmarkStart w:id="241" w:name="zc3a988539ee34b34acba44c9f1a42ac2"/>
      <w:bookmarkEnd w:id="241"/>
    </w:p>
    <w:tbl>
      <w:tblPr>
        <w:tblW w:w="10205" w:type="dxa"/>
        <w:jc w:val="left"/>
        <w:tblInd w:w="0" w:type="dxa"/>
        <w:tblLayout w:type="fixed"/>
        <w:tblCellMar>
          <w:top w:w="0" w:type="dxa"/>
          <w:left w:w="0" w:type="dxa"/>
          <w:bottom w:w="0" w:type="dxa"/>
          <w:right w:w="0" w:type="dxa"/>
        </w:tblCellMar>
      </w:tblPr>
      <w:tblGrid>
        <w:gridCol w:w="1204"/>
        <w:gridCol w:w="90"/>
        <w:gridCol w:w="206"/>
        <w:gridCol w:w="861"/>
        <w:gridCol w:w="108"/>
        <w:gridCol w:w="108"/>
        <w:gridCol w:w="206"/>
        <w:gridCol w:w="861"/>
        <w:gridCol w:w="108"/>
        <w:gridCol w:w="108"/>
        <w:gridCol w:w="206"/>
        <w:gridCol w:w="861"/>
        <w:gridCol w:w="108"/>
        <w:gridCol w:w="108"/>
        <w:gridCol w:w="206"/>
        <w:gridCol w:w="861"/>
        <w:gridCol w:w="108"/>
        <w:gridCol w:w="108"/>
        <w:gridCol w:w="206"/>
        <w:gridCol w:w="861"/>
        <w:gridCol w:w="90"/>
        <w:gridCol w:w="90"/>
        <w:gridCol w:w="278"/>
        <w:gridCol w:w="672"/>
        <w:gridCol w:w="107"/>
        <w:gridCol w:w="107"/>
        <w:gridCol w:w="163"/>
        <w:gridCol w:w="1072"/>
        <w:gridCol w:w="133"/>
      </w:tblGrid>
      <w:tr>
        <w:trPr/>
        <w:tc>
          <w:tcPr>
            <w:tcW w:w="12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199" w:type="dxa"/>
            <w:gridSpan w:val="18"/>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9"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As of December 31, </w:t>
            </w:r>
          </w:p>
          <w:p>
            <w:pPr>
              <w:pStyle w:val="TableContents"/>
              <w:bidi w:val="0"/>
              <w:spacing w:before="0" w:after="0"/>
              <w:jc w:val="center"/>
              <w:rPr>
                <w:b/>
              </w:rPr>
            </w:pPr>
            <w:r>
              <w:rPr>
                <w:b/>
              </w:rPr>
              <w:t>2025</w:t>
            </w:r>
          </w:p>
        </w:tc>
        <w:tc>
          <w:tcPr>
            <w:tcW w:w="133"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199" w:type="dxa"/>
            <w:gridSpan w:val="1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107" w:type="dxa"/>
            <w:vMerge w:val="restart"/>
            <w:tcBorders/>
            <w:vAlign w:val="bottom"/>
          </w:tcPr>
          <w:p>
            <w:pPr>
              <w:pStyle w:val="TableContents"/>
              <w:bidi w:val="0"/>
              <w:spacing w:before="0" w:after="283"/>
              <w:jc w:val="left"/>
              <w:rPr/>
            </w:pPr>
            <w:r>
              <w:rPr/>
              <w:t> </w:t>
            </w:r>
          </w:p>
        </w:tc>
        <w:tc>
          <w:tcPr>
            <w:tcW w:w="107" w:type="dxa"/>
            <w:vMerge w:val="restart"/>
            <w:tcBorders/>
            <w:vAlign w:val="bottom"/>
          </w:tcPr>
          <w:p>
            <w:pPr>
              <w:pStyle w:val="TableContents"/>
              <w:bidi w:val="0"/>
              <w:spacing w:before="0" w:after="283"/>
              <w:jc w:val="left"/>
              <w:rPr/>
            </w:pPr>
            <w:r>
              <w:rPr/>
              <w:t> </w:t>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3" w:type="dxa"/>
            <w:vMerge w:val="restart"/>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6199" w:type="dxa"/>
            <w:gridSpan w:val="18"/>
            <w:vMerge w:val="restart"/>
            <w:tcBorders>
              <w:bottom w:val="single" w:sz="12" w:space="0" w:color="000000"/>
            </w:tcBorders>
            <w:tcMar>
              <w:bottom w:w="28" w:type="dxa"/>
            </w:tcMar>
            <w:vAlign w:val="center"/>
          </w:tcPr>
          <w:p>
            <w:pPr>
              <w:pStyle w:val="TableContents"/>
              <w:bidi w:val="0"/>
              <w:spacing w:before="0" w:after="0"/>
              <w:jc w:val="center"/>
              <w:rPr>
                <w:b/>
              </w:rPr>
            </w:pPr>
            <w:r>
              <w:rPr>
                <w:b/>
              </w:rPr>
              <w:t xml:space="preserve">Incurred Losses, Claims and Allocated Loss Adjustment Expenses, Net of </w:t>
              <w:br/>
              <w:t>Reinsurance</w:t>
            </w:r>
          </w:p>
        </w:tc>
        <w:tc>
          <w:tcPr>
            <w:tcW w:w="90" w:type="dxa"/>
            <w:vMerge w:val="restart"/>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107" w:type="dxa"/>
            <w:vMerge w:val="continue"/>
            <w:tcBorders/>
            <w:vAlign w:val="bottom"/>
          </w:tcPr>
          <w:p>
            <w:pPr>
              <w:pStyle w:val="Normal"/>
              <w:bidi w:val="0"/>
              <w:jc w:val="left"/>
              <w:rPr/>
            </w:pPr>
            <w:r>
              <w:rPr/>
            </w:r>
          </w:p>
        </w:tc>
        <w:tc>
          <w:tcPr>
            <w:tcW w:w="107"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3" w:type="dxa"/>
            <w:vMerge w:val="continue"/>
            <w:tcBorders/>
            <w:vAlign w:val="bottom"/>
          </w:tcPr>
          <w:p>
            <w:pPr>
              <w:pStyle w:val="Normal"/>
              <w:bidi w:val="0"/>
              <w:jc w:val="left"/>
              <w:rPr/>
            </w:pPr>
            <w:r>
              <w:rPr/>
            </w:r>
          </w:p>
        </w:tc>
      </w:tr>
      <w:tr>
        <w:trPr/>
        <w:tc>
          <w:tcPr>
            <w:tcW w:w="1204"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6199" w:type="dxa"/>
            <w:gridSpan w:val="18"/>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107" w:type="dxa"/>
            <w:vMerge w:val="continue"/>
            <w:tcBorders/>
            <w:vAlign w:val="bottom"/>
          </w:tcPr>
          <w:p>
            <w:pPr>
              <w:pStyle w:val="Normal"/>
              <w:bidi w:val="0"/>
              <w:jc w:val="left"/>
              <w:rPr/>
            </w:pPr>
            <w:r>
              <w:rPr/>
            </w:r>
          </w:p>
        </w:tc>
        <w:tc>
          <w:tcPr>
            <w:tcW w:w="107" w:type="dxa"/>
            <w:vMerge w:val="continue"/>
            <w:tcBorders/>
            <w:vAlign w:val="bottom"/>
          </w:tcPr>
          <w:p>
            <w:pPr>
              <w:pStyle w:val="Normal"/>
              <w:bidi w:val="0"/>
              <w:jc w:val="left"/>
              <w:rPr/>
            </w:pPr>
            <w:r>
              <w:rPr/>
            </w:r>
          </w:p>
        </w:tc>
        <w:tc>
          <w:tcPr>
            <w:tcW w:w="1235" w:type="dxa"/>
            <w:gridSpan w:val="2"/>
            <w:vMerge w:val="continue"/>
            <w:tcBorders>
              <w:bottom w:val="single" w:sz="12" w:space="0" w:color="000000"/>
            </w:tcBorders>
            <w:tcMar>
              <w:bottom w:w="28" w:type="dxa"/>
            </w:tcMar>
            <w:vAlign w:val="center"/>
          </w:tcPr>
          <w:p>
            <w:pPr>
              <w:pStyle w:val="Normal"/>
              <w:bidi w:val="0"/>
              <w:jc w:val="left"/>
              <w:rPr/>
            </w:pPr>
            <w:r>
              <w:rPr/>
            </w:r>
          </w:p>
        </w:tc>
        <w:tc>
          <w:tcPr>
            <w:tcW w:w="133" w:type="dxa"/>
            <w:vMerge w:val="continue"/>
            <w:tcBorders/>
            <w:vAlign w:val="bottom"/>
          </w:tcPr>
          <w:p>
            <w:pPr>
              <w:pStyle w:val="Normal"/>
              <w:bidi w:val="0"/>
              <w:jc w:val="left"/>
              <w:rPr/>
            </w:pPr>
            <w:r>
              <w:rPr/>
            </w:r>
          </w:p>
        </w:tc>
      </w:tr>
      <w:tr>
        <w:trPr/>
        <w:tc>
          <w:tcPr>
            <w:tcW w:w="1204"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107" w:type="dxa"/>
            <w:vMerge w:val="continue"/>
            <w:tcBorders/>
            <w:vAlign w:val="bottom"/>
          </w:tcPr>
          <w:p>
            <w:pPr>
              <w:pStyle w:val="Normal"/>
              <w:bidi w:val="0"/>
              <w:jc w:val="left"/>
              <w:rPr/>
            </w:pPr>
            <w:r>
              <w:rPr/>
            </w:r>
          </w:p>
        </w:tc>
        <w:tc>
          <w:tcPr>
            <w:tcW w:w="107"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3" w:type="dxa"/>
            <w:vMerge w:val="continue"/>
            <w:tcBorders/>
            <w:vAlign w:val="bottom"/>
          </w:tcPr>
          <w:p>
            <w:pPr>
              <w:pStyle w:val="Normal"/>
              <w:bidi w:val="0"/>
              <w:jc w:val="left"/>
              <w:rPr/>
            </w:pPr>
            <w:r>
              <w:rPr/>
            </w:r>
          </w:p>
        </w:tc>
      </w:tr>
      <w:tr>
        <w:trPr/>
        <w:tc>
          <w:tcPr>
            <w:tcW w:w="1204" w:type="dxa"/>
            <w:tcBorders/>
            <w:shd w:fill="CCEEFF" w:val="clear"/>
            <w:vAlign w:val="bottom"/>
          </w:tcPr>
          <w:p>
            <w:pPr>
              <w:pStyle w:val="TableContents"/>
              <w:bidi w:val="0"/>
              <w:spacing w:before="0" w:after="0"/>
              <w:jc w:val="center"/>
              <w:rPr>
                <w:b w:val="false"/>
              </w:rPr>
            </w:pPr>
            <w:r>
              <w:rPr>
                <w:b w:val="false"/>
              </w:rPr>
              <w:t>2021</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14,296</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13,385</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13,305</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13,329</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b w:val="false"/>
              </w:rPr>
            </w:pPr>
            <w:r>
              <w:rPr>
                <w:b w:val="false"/>
              </w:rPr>
              <w:t>$</w:t>
            </w:r>
          </w:p>
        </w:tc>
        <w:tc>
          <w:tcPr>
            <w:tcW w:w="672" w:type="dxa"/>
            <w:tcBorders/>
            <w:shd w:fill="CCEEFF" w:val="clear"/>
            <w:vAlign w:val="bottom"/>
          </w:tcPr>
          <w:p>
            <w:pPr>
              <w:pStyle w:val="TableContents"/>
              <w:bidi w:val="0"/>
              <w:spacing w:before="0" w:after="0"/>
              <w:jc w:val="right"/>
              <w:rPr>
                <w:b w:val="false"/>
              </w:rPr>
            </w:pPr>
            <w:r>
              <w:rPr>
                <w:b w:val="false"/>
              </w:rPr>
              <w:t>1</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b w:val="false"/>
              </w:rPr>
            </w:pPr>
            <w:r>
              <w:rPr>
                <w:b w:val="false"/>
              </w:rPr>
              <w:t>1,914</w:t>
            </w:r>
          </w:p>
        </w:tc>
        <w:tc>
          <w:tcPr>
            <w:tcW w:w="133" w:type="dxa"/>
            <w:tcBorders/>
            <w:shd w:fill="CCEEFF" w:val="clear"/>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center"/>
              <w:rPr>
                <w:b w:val="false"/>
              </w:rPr>
            </w:pPr>
            <w:r>
              <w:rPr>
                <w:b w:val="false"/>
              </w:rPr>
              <w:t>2022</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10,962</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10,648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10,564</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10,574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b w:val="false"/>
              </w:rPr>
            </w:pPr>
            <w:r>
              <w:rPr>
                <w:b w:val="false"/>
              </w:rPr>
              <w:t>-</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b w:val="false"/>
              </w:rPr>
            </w:pPr>
            <w:r>
              <w:rPr>
                <w:b w:val="false"/>
              </w:rPr>
              <w:t>1,777</w:t>
            </w:r>
          </w:p>
        </w:tc>
        <w:tc>
          <w:tcPr>
            <w:tcW w:w="133" w:type="dxa"/>
            <w:tcBorders/>
            <w:vAlign w:val="bottom"/>
          </w:tcPr>
          <w:p>
            <w:pPr>
              <w:pStyle w:val="TableContents"/>
              <w:bidi w:val="0"/>
              <w:spacing w:before="0" w:after="283"/>
              <w:jc w:val="left"/>
              <w:rPr/>
            </w:pPr>
            <w:r>
              <w:rPr/>
              <w:t> </w:t>
            </w:r>
          </w:p>
        </w:tc>
      </w:tr>
      <w:tr>
        <w:trPr/>
        <w:tc>
          <w:tcPr>
            <w:tcW w:w="1204" w:type="dxa"/>
            <w:tcBorders/>
            <w:shd w:fill="CCEEFF" w:val="clear"/>
            <w:vAlign w:val="bottom"/>
          </w:tcPr>
          <w:p>
            <w:pPr>
              <w:pStyle w:val="TableContents"/>
              <w:bidi w:val="0"/>
              <w:spacing w:before="0" w:after="0"/>
              <w:jc w:val="center"/>
              <w:rPr>
                <w:b w:val="false"/>
              </w:rPr>
            </w:pPr>
            <w:r>
              <w:rPr>
                <w:b w:val="false"/>
              </w:rPr>
              <w:t>2023</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b w:val="false"/>
              </w:rPr>
            </w:pPr>
            <w:r>
              <w:rPr>
                <w:b w:val="false"/>
              </w:rPr>
              <w:t>6,460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b w:val="false"/>
              </w:rPr>
            </w:pPr>
            <w:r>
              <w:rPr>
                <w:b w:val="false"/>
              </w:rPr>
              <w:t>6,485</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b w:val="false"/>
              </w:rPr>
            </w:pPr>
            <w:r>
              <w:rPr>
                <w:b w:val="false"/>
              </w:rPr>
              <w:t>6,301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b w:val="false"/>
              </w:rPr>
            </w:pPr>
            <w:r>
              <w:rPr>
                <w:b w:val="false"/>
              </w:rPr>
              <w:t>3</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b w:val="false"/>
              </w:rPr>
            </w:pPr>
            <w:r>
              <w:rPr>
                <w:b w:val="false"/>
              </w:rPr>
              <w:t>1,599</w:t>
            </w:r>
          </w:p>
        </w:tc>
        <w:tc>
          <w:tcPr>
            <w:tcW w:w="133" w:type="dxa"/>
            <w:tcBorders/>
            <w:shd w:fill="CCEEFF" w:val="clear"/>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center"/>
              <w:rPr>
                <w:b w:val="false"/>
              </w:rPr>
            </w:pPr>
            <w:r>
              <w:rPr>
                <w:b w:val="false"/>
              </w:rPr>
              <w:t>2024</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7,418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8,029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b w:val="false"/>
              </w:rPr>
            </w:pPr>
            <w:r>
              <w:rPr>
                <w:b w:val="false"/>
              </w:rPr>
              <w:t>12</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b w:val="false"/>
              </w:rPr>
            </w:pPr>
            <w:r>
              <w:rPr>
                <w:b w:val="false"/>
              </w:rPr>
              <w:t>1,679</w:t>
            </w:r>
          </w:p>
        </w:tc>
        <w:tc>
          <w:tcPr>
            <w:tcW w:w="133" w:type="dxa"/>
            <w:tcBorders/>
            <w:vAlign w:val="bottom"/>
          </w:tcPr>
          <w:p>
            <w:pPr>
              <w:pStyle w:val="TableContents"/>
              <w:bidi w:val="0"/>
              <w:spacing w:before="0" w:after="283"/>
              <w:jc w:val="left"/>
              <w:rPr/>
            </w:pPr>
            <w:r>
              <w:rPr/>
              <w:t> </w:t>
            </w:r>
          </w:p>
        </w:tc>
      </w:tr>
      <w:tr>
        <w:trPr/>
        <w:tc>
          <w:tcPr>
            <w:tcW w:w="1204" w:type="dxa"/>
            <w:tcBorders/>
            <w:shd w:fill="CCEEFF" w:val="clear"/>
            <w:vAlign w:val="bottom"/>
          </w:tcPr>
          <w:p>
            <w:pPr>
              <w:pStyle w:val="TableContents"/>
              <w:bidi w:val="0"/>
              <w:spacing w:before="0" w:after="0"/>
              <w:jc w:val="center"/>
              <w:rPr>
                <w:b w:val="false"/>
              </w:rPr>
            </w:pPr>
            <w:r>
              <w:rPr>
                <w:b w:val="false"/>
              </w:rPr>
              <w:t>2025</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bottom"/>
          </w:tcPr>
          <w:p>
            <w:pPr>
              <w:pStyle w:val="TableContents"/>
              <w:bidi w:val="0"/>
              <w:spacing w:before="0" w:after="0"/>
              <w:jc w:val="right"/>
              <w:rPr>
                <w:b w:val="false"/>
              </w:rPr>
            </w:pPr>
            <w:r>
              <w:rPr>
                <w:b w:val="false"/>
              </w:rPr>
              <w:t>9,707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b w:val="false"/>
              </w:rPr>
            </w:pPr>
            <w:r>
              <w:rPr>
                <w:b w:val="false"/>
              </w:rPr>
              <w:t>247</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b w:val="false"/>
              </w:rPr>
            </w:pPr>
            <w:r>
              <w:rPr>
                <w:b w:val="false"/>
              </w:rPr>
              <w:t>1,538</w:t>
            </w:r>
          </w:p>
        </w:tc>
        <w:tc>
          <w:tcPr>
            <w:tcW w:w="133" w:type="dxa"/>
            <w:tcBorders/>
            <w:shd w:fill="CCEEFF" w:val="clear"/>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b w:val="false"/>
              </w:rPr>
            </w:pPr>
            <w:r>
              <w:rPr>
                <w:b w:val="false"/>
              </w:rPr>
              <w:t>47,934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r>
    </w:tbl>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42" w:name="zca6ebf671b8f4e408a6d401c561ed77d"/>
      <w:bookmarkStart w:id="243" w:name="zca6ebf671b8f4e408a6d401c561ed77d"/>
      <w:bookmarkEnd w:id="243"/>
    </w:p>
    <w:tbl>
      <w:tblPr>
        <w:tblW w:w="10205" w:type="dxa"/>
        <w:jc w:val="left"/>
        <w:tblInd w:w="0" w:type="dxa"/>
        <w:tblLayout w:type="fixed"/>
        <w:tblCellMar>
          <w:top w:w="0" w:type="dxa"/>
          <w:left w:w="0" w:type="dxa"/>
          <w:bottom w:w="0" w:type="dxa"/>
          <w:right w:w="0" w:type="dxa"/>
        </w:tblCellMar>
      </w:tblPr>
      <w:tblGrid>
        <w:gridCol w:w="1402"/>
        <w:gridCol w:w="90"/>
        <w:gridCol w:w="284"/>
        <w:gridCol w:w="1190"/>
        <w:gridCol w:w="150"/>
        <w:gridCol w:w="150"/>
        <w:gridCol w:w="284"/>
        <w:gridCol w:w="1190"/>
        <w:gridCol w:w="150"/>
        <w:gridCol w:w="150"/>
        <w:gridCol w:w="284"/>
        <w:gridCol w:w="1190"/>
        <w:gridCol w:w="150"/>
        <w:gridCol w:w="150"/>
        <w:gridCol w:w="284"/>
        <w:gridCol w:w="1190"/>
        <w:gridCol w:w="150"/>
        <w:gridCol w:w="150"/>
        <w:gridCol w:w="284"/>
        <w:gridCol w:w="1190"/>
        <w:gridCol w:w="143"/>
      </w:tblGrid>
      <w:tr>
        <w:trPr/>
        <w:tc>
          <w:tcPr>
            <w:tcW w:w="14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570" w:type="dxa"/>
            <w:gridSpan w:val="1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43" w:type="dxa"/>
            <w:tcBorders/>
            <w:vAlign w:val="bottom"/>
          </w:tcPr>
          <w:p>
            <w:pPr>
              <w:pStyle w:val="TableContents"/>
              <w:bidi w:val="0"/>
              <w:spacing w:before="0" w:after="283"/>
              <w:jc w:val="left"/>
              <w:rPr/>
            </w:pPr>
            <w:r>
              <w:rPr/>
              <w:t> </w:t>
            </w:r>
          </w:p>
        </w:tc>
      </w:tr>
      <w:tr>
        <w:trPr/>
        <w:tc>
          <w:tcPr>
            <w:tcW w:w="1402"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43"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0"/>
              <w:jc w:val="center"/>
              <w:rPr/>
            </w:pPr>
            <w:r>
              <w:rPr/>
              <w:t>2021</w:t>
            </w:r>
          </w:p>
        </w:tc>
        <w:tc>
          <w:tcPr>
            <w:tcW w:w="9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11,993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13,277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13,257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13,302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13,315</w:t>
            </w:r>
          </w:p>
        </w:tc>
        <w:tc>
          <w:tcPr>
            <w:tcW w:w="143"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0"/>
              <w:jc w:val="center"/>
              <w:rPr/>
            </w:pPr>
            <w:r>
              <w:rPr/>
              <w:t>2022</w:t>
            </w:r>
          </w:p>
        </w:tc>
        <w:tc>
          <w:tcPr>
            <w:tcW w:w="9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8,475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10,368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10,528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10,573</w:t>
            </w:r>
          </w:p>
        </w:tc>
        <w:tc>
          <w:tcPr>
            <w:tcW w:w="143"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0"/>
              <w:jc w:val="center"/>
              <w:rPr/>
            </w:pPr>
            <w:r>
              <w:rPr/>
              <w:t>2023</w:t>
            </w:r>
          </w:p>
        </w:tc>
        <w:tc>
          <w:tcPr>
            <w:tcW w:w="9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0"/>
              <w:jc w:val="right"/>
              <w:rPr/>
            </w:pPr>
            <w:r>
              <w:rPr/>
              <w:t>5,397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0"/>
              <w:jc w:val="right"/>
              <w:rPr/>
            </w:pPr>
            <w:r>
              <w:rPr/>
              <w:t>6,340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0"/>
              <w:jc w:val="right"/>
              <w:rPr/>
            </w:pPr>
            <w:r>
              <w:rPr/>
              <w:t>6,263</w:t>
            </w:r>
          </w:p>
        </w:tc>
        <w:tc>
          <w:tcPr>
            <w:tcW w:w="143"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0"/>
              <w:jc w:val="center"/>
              <w:rPr/>
            </w:pPr>
            <w:r>
              <w:rPr/>
              <w:t>2024</w:t>
            </w:r>
          </w:p>
        </w:tc>
        <w:tc>
          <w:tcPr>
            <w:tcW w:w="9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5,864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7,885</w:t>
            </w:r>
          </w:p>
        </w:tc>
        <w:tc>
          <w:tcPr>
            <w:tcW w:w="143"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0"/>
              <w:jc w:val="center"/>
              <w:rPr/>
            </w:pPr>
            <w:r>
              <w:rPr/>
              <w:t>2025</w:t>
            </w:r>
          </w:p>
        </w:tc>
        <w:tc>
          <w:tcPr>
            <w:tcW w:w="9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bottom"/>
          </w:tcPr>
          <w:p>
            <w:pPr>
              <w:pStyle w:val="TableContents"/>
              <w:bidi w:val="0"/>
              <w:spacing w:before="0" w:after="0"/>
              <w:jc w:val="right"/>
              <w:rPr/>
            </w:pPr>
            <w:r>
              <w:rPr/>
              <w:t>7,055</w:t>
            </w:r>
          </w:p>
        </w:tc>
        <w:tc>
          <w:tcPr>
            <w:tcW w:w="143"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bottom w:val="single" w:sz="12" w:space="0" w:color="000000"/>
            </w:tcBorders>
            <w:tcMar>
              <w:bottom w:w="28" w:type="dxa"/>
            </w:tcMar>
            <w:vAlign w:val="bottom"/>
          </w:tcPr>
          <w:p>
            <w:pPr>
              <w:pStyle w:val="TableContents"/>
              <w:bidi w:val="0"/>
              <w:spacing w:before="0" w:after="0"/>
              <w:jc w:val="left"/>
              <w:rPr/>
            </w:pPr>
            <w:r>
              <w:rPr/>
              <w:t>$</w:t>
            </w:r>
          </w:p>
        </w:tc>
        <w:tc>
          <w:tcPr>
            <w:tcW w:w="1190" w:type="dxa"/>
            <w:tcBorders>
              <w:bottom w:val="single" w:sz="12" w:space="0" w:color="000000"/>
            </w:tcBorders>
            <w:tcMar>
              <w:bottom w:w="28" w:type="dxa"/>
            </w:tcMar>
            <w:vAlign w:val="bottom"/>
          </w:tcPr>
          <w:p>
            <w:pPr>
              <w:pStyle w:val="TableContents"/>
              <w:bidi w:val="0"/>
              <w:spacing w:before="0" w:after="0"/>
              <w:jc w:val="right"/>
              <w:rPr/>
            </w:pPr>
            <w:r>
              <w:rPr/>
              <w:t>45,091</w:t>
            </w:r>
          </w:p>
        </w:tc>
        <w:tc>
          <w:tcPr>
            <w:tcW w:w="143" w:type="dxa"/>
            <w:tcBorders/>
            <w:vAlign w:val="bottom"/>
          </w:tcPr>
          <w:p>
            <w:pPr>
              <w:pStyle w:val="TableContents"/>
              <w:bidi w:val="0"/>
              <w:spacing w:before="0" w:after="283"/>
              <w:jc w:val="left"/>
              <w:rPr/>
            </w:pPr>
            <w:r>
              <w:rPr/>
              <w:t> </w:t>
            </w:r>
          </w:p>
        </w:tc>
      </w:tr>
      <w:tr>
        <w:trPr/>
        <w:tc>
          <w:tcPr>
            <w:tcW w:w="8288" w:type="dxa"/>
            <w:gridSpan w:val="16"/>
            <w:tcBorders/>
            <w:shd w:fill="CCEEFF" w:val="clear"/>
            <w:vAlign w:val="bottom"/>
          </w:tcPr>
          <w:p>
            <w:pPr>
              <w:pStyle w:val="TableContents"/>
              <w:bidi w:val="0"/>
              <w:spacing w:before="0" w:after="0"/>
              <w:jc w:val="right"/>
              <w:rPr/>
            </w:pPr>
            <w:r>
              <w:rPr/>
              <w:t>Liabilities for losses, claims and loss adjustment expenses, net of reinsurance</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90" w:type="dxa"/>
            <w:tcBorders>
              <w:bottom w:val="double" w:sz="8" w:space="0" w:color="000000"/>
            </w:tcBorders>
            <w:shd w:fill="CCEEFF" w:val="clear"/>
            <w:tcMar>
              <w:bottom w:w="28" w:type="dxa"/>
            </w:tcMar>
            <w:vAlign w:val="bottom"/>
          </w:tcPr>
          <w:p>
            <w:pPr>
              <w:pStyle w:val="TableContents"/>
              <w:bidi w:val="0"/>
              <w:spacing w:before="0" w:after="0"/>
              <w:jc w:val="right"/>
              <w:rPr/>
            </w:pPr>
            <w:r>
              <w:rPr/>
              <w:t>2,843</w:t>
            </w:r>
          </w:p>
        </w:tc>
        <w:tc>
          <w:tcPr>
            <w:tcW w:w="14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b/>
          <w:sz w:val="20"/>
          <w:u w:val="single"/>
        </w:rPr>
      </w:pPr>
      <w:r>
        <w:rPr>
          <w:rFonts w:ascii="Times New Roman" w:hAnsi="Times New Roman"/>
          <w:b/>
          <w:sz w:val="20"/>
          <w:u w:val="single"/>
        </w:rPr>
        <w:t>General Liability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4" w:name="z911abf1aa52e48e1bc90b14b8b918e77"/>
      <w:bookmarkStart w:id="245" w:name="z911abf1aa52e48e1bc90b14b8b918e77"/>
      <w:bookmarkEnd w:id="245"/>
    </w:p>
    <w:tbl>
      <w:tblPr>
        <w:tblW w:w="13075"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710"/>
        <w:gridCol w:w="90"/>
        <w:gridCol w:w="90"/>
        <w:gridCol w:w="239"/>
        <w:gridCol w:w="711"/>
        <w:gridCol w:w="90"/>
        <w:gridCol w:w="90"/>
        <w:gridCol w:w="222"/>
        <w:gridCol w:w="1013"/>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t> </w:t>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5" w:type="dxa"/>
            <w:vMerge w:val="restart"/>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9340" w:type="dxa"/>
            <w:gridSpan w:val="38"/>
            <w:vMerge w:val="restart"/>
            <w:tcBorders>
              <w:bottom w:val="single" w:sz="12" w:space="0" w:color="000000"/>
            </w:tcBorders>
            <w:tcMar>
              <w:bottom w:w="28" w:type="dxa"/>
            </w:tcMar>
            <w:vAlign w:val="bottom"/>
          </w:tcPr>
          <w:p>
            <w:pPr>
              <w:pStyle w:val="TableContents"/>
              <w:bidi w:val="0"/>
              <w:spacing w:before="0" w:after="0"/>
              <w:jc w:val="center"/>
              <w:rPr>
                <w:b/>
              </w:rPr>
            </w:pPr>
            <w:r>
              <w:rPr>
                <w:b/>
              </w:rPr>
              <w:t>Incurred Losses, Claims and Allocated Loss Adjustment Expenses, Net of</w:t>
            </w:r>
          </w:p>
          <w:p>
            <w:pPr>
              <w:pStyle w:val="TableContents"/>
              <w:bidi w:val="0"/>
              <w:spacing w:before="0" w:after="0"/>
              <w:jc w:val="center"/>
              <w:rPr>
                <w:b/>
              </w:rPr>
            </w:pPr>
            <w:r>
              <w:rPr>
                <w:b/>
              </w:rPr>
              <w:t>Reinsurance</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340" w:type="dxa"/>
            <w:gridSpan w:val="38"/>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235"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b/>
              </w:rPr>
            </w:pPr>
            <w:r>
              <w:rPr>
                <w:b/>
              </w:rPr>
              <w:t>2025</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3,119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1,148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736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94</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839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84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1,656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77</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1,916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909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pPr>
            <w:r>
              <w:rPr/>
              <w:t>$</w:t>
            </w:r>
          </w:p>
        </w:tc>
        <w:tc>
          <w:tcPr>
            <w:tcW w:w="711" w:type="dxa"/>
            <w:tcBorders/>
            <w:vAlign w:val="bottom"/>
          </w:tcPr>
          <w:p>
            <w:pPr>
              <w:pStyle w:val="TableContents"/>
              <w:bidi w:val="0"/>
              <w:spacing w:before="0" w:after="0"/>
              <w:jc w:val="right"/>
              <w:rPr/>
            </w:pPr>
            <w:r>
              <w:rPr/>
              <w:t>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98</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2,223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670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657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pPr>
            <w:r>
              <w:rPr/>
              <w:t>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91</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2,567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1,329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1,328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1,267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1,377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pPr>
            <w:r>
              <w:rPr/>
              <w:t>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106</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2,770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2,380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2,530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pPr>
            <w:r>
              <w:rPr/>
              <w:t>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143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2,887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pPr>
            <w:r>
              <w:rPr/>
              <w:t>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126</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3,139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pPr>
            <w:r>
              <w:rPr/>
              <w:t>405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120</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pPr>
            <w:r>
              <w:rPr/>
              <w:t>1,271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70</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11,602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6" w:name="zac1e98c73c9d4b9fafd16b920ce2c690"/>
      <w:bookmarkStart w:id="247" w:name="zac1e98c73c9d4b9fafd16b920ce2c690"/>
      <w:bookmarkEnd w:id="247"/>
    </w:p>
    <w:tbl>
      <w:tblPr>
        <w:tblW w:w="10205" w:type="dxa"/>
        <w:jc w:val="left"/>
        <w:tblInd w:w="0" w:type="dxa"/>
        <w:tblLayout w:type="fixed"/>
        <w:tblCellMar>
          <w:top w:w="0" w:type="dxa"/>
          <w:left w:w="0" w:type="dxa"/>
          <w:bottom w:w="0" w:type="dxa"/>
          <w:right w:w="0" w:type="dxa"/>
        </w:tblCellMar>
      </w:tblPr>
      <w:tblGrid>
        <w:gridCol w:w="1227"/>
        <w:gridCol w:w="90"/>
        <w:gridCol w:w="185"/>
        <w:gridCol w:w="446"/>
        <w:gridCol w:w="97"/>
        <w:gridCol w:w="97"/>
        <w:gridCol w:w="185"/>
        <w:gridCol w:w="446"/>
        <w:gridCol w:w="97"/>
        <w:gridCol w:w="97"/>
        <w:gridCol w:w="185"/>
        <w:gridCol w:w="446"/>
        <w:gridCol w:w="97"/>
        <w:gridCol w:w="97"/>
        <w:gridCol w:w="185"/>
        <w:gridCol w:w="446"/>
        <w:gridCol w:w="97"/>
        <w:gridCol w:w="97"/>
        <w:gridCol w:w="185"/>
        <w:gridCol w:w="481"/>
        <w:gridCol w:w="97"/>
        <w:gridCol w:w="97"/>
        <w:gridCol w:w="185"/>
        <w:gridCol w:w="481"/>
        <w:gridCol w:w="97"/>
        <w:gridCol w:w="97"/>
        <w:gridCol w:w="185"/>
        <w:gridCol w:w="481"/>
        <w:gridCol w:w="97"/>
        <w:gridCol w:w="97"/>
        <w:gridCol w:w="185"/>
        <w:gridCol w:w="642"/>
        <w:gridCol w:w="97"/>
        <w:gridCol w:w="97"/>
        <w:gridCol w:w="185"/>
        <w:gridCol w:w="642"/>
        <w:gridCol w:w="97"/>
        <w:gridCol w:w="97"/>
        <w:gridCol w:w="185"/>
        <w:gridCol w:w="642"/>
        <w:gridCol w:w="139"/>
      </w:tblGrid>
      <w:tr>
        <w:trPr/>
        <w:tc>
          <w:tcPr>
            <w:tcW w:w="122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49"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39" w:type="dxa"/>
            <w:tcBorders/>
            <w:vAlign w:val="bottom"/>
          </w:tcPr>
          <w:p>
            <w:pPr>
              <w:pStyle w:val="TableContents"/>
              <w:bidi w:val="0"/>
              <w:spacing w:before="0" w:after="283"/>
              <w:jc w:val="left"/>
              <w:rPr/>
            </w:pPr>
            <w:r>
              <w:rPr/>
              <w:t> </w:t>
            </w:r>
          </w:p>
        </w:tc>
      </w:tr>
      <w:tr>
        <w:trPr/>
        <w:tc>
          <w:tcPr>
            <w:tcW w:w="1227"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116</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203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568</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608</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81" w:type="dxa"/>
            <w:tcBorders/>
            <w:shd w:fill="CCEEFF" w:val="clear"/>
            <w:vAlign w:val="bottom"/>
          </w:tcPr>
          <w:p>
            <w:pPr>
              <w:pStyle w:val="TableContents"/>
              <w:bidi w:val="0"/>
              <w:spacing w:before="0" w:after="0"/>
              <w:jc w:val="right"/>
              <w:rPr/>
            </w:pPr>
            <w:r>
              <w:rPr/>
              <w:t>617</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81" w:type="dxa"/>
            <w:tcBorders/>
            <w:shd w:fill="CCEEFF" w:val="clear"/>
            <w:vAlign w:val="bottom"/>
          </w:tcPr>
          <w:p>
            <w:pPr>
              <w:pStyle w:val="TableContents"/>
              <w:bidi w:val="0"/>
              <w:spacing w:before="0" w:after="0"/>
              <w:jc w:val="right"/>
              <w:rPr/>
            </w:pPr>
            <w:r>
              <w:rPr/>
              <w:t>619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81" w:type="dxa"/>
            <w:tcBorders/>
            <w:shd w:fill="CCEEFF" w:val="clear"/>
            <w:vAlign w:val="bottom"/>
          </w:tcPr>
          <w:p>
            <w:pPr>
              <w:pStyle w:val="TableContents"/>
              <w:bidi w:val="0"/>
              <w:spacing w:before="0" w:after="0"/>
              <w:jc w:val="right"/>
              <w:rPr/>
            </w:pPr>
            <w:r>
              <w:rPr/>
              <w:t>620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620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620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620</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75</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136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365</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556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696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741</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777</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777</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777</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0"/>
              <w:jc w:val="right"/>
              <w:rPr/>
            </w:pPr>
            <w:r>
              <w:rPr/>
              <w:t>65</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0"/>
              <w:jc w:val="right"/>
              <w:rPr/>
            </w:pPr>
            <w:r>
              <w:rPr/>
              <w:t>90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0"/>
              <w:jc w:val="right"/>
              <w:rPr/>
            </w:pPr>
            <w:r>
              <w:rPr/>
              <w:t>115</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0"/>
              <w:jc w:val="right"/>
              <w:rPr/>
            </w:pPr>
            <w:r>
              <w:rPr/>
              <w:t>128</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0"/>
              <w:jc w:val="right"/>
              <w:rPr/>
            </w:pPr>
            <w:r>
              <w:rPr/>
              <w:t>183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183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185</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185</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41</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209</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242</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354</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404</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433</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491</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208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385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462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539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593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629</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xml:space="preserve">364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xml:space="preserve">646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813</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1,178</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1,336</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402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1,169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1,622</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2,156</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125</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399</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857</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239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1,002</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247</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8,300</w:t>
            </w:r>
          </w:p>
        </w:tc>
        <w:tc>
          <w:tcPr>
            <w:tcW w:w="139" w:type="dxa"/>
            <w:tcBorders/>
            <w:shd w:fill="CCEEFF" w:val="clear"/>
            <w:vAlign w:val="bottom"/>
          </w:tcPr>
          <w:p>
            <w:pPr>
              <w:pStyle w:val="TableContents"/>
              <w:bidi w:val="0"/>
              <w:spacing w:before="0" w:after="283"/>
              <w:jc w:val="left"/>
              <w:rPr/>
            </w:pPr>
            <w:r>
              <w:rPr/>
              <w:t> </w:t>
            </w:r>
          </w:p>
        </w:tc>
      </w:tr>
      <w:tr>
        <w:trPr/>
        <w:tc>
          <w:tcPr>
            <w:tcW w:w="9045" w:type="dxa"/>
            <w:gridSpan w:val="36"/>
            <w:tcBorders/>
            <w:vAlign w:val="bottom"/>
          </w:tcPr>
          <w:p>
            <w:pPr>
              <w:pStyle w:val="TableContents"/>
              <w:bidi w:val="0"/>
              <w:spacing w:before="0" w:after="0"/>
              <w:jc w:val="right"/>
              <w:rPr/>
            </w:pPr>
            <w:r>
              <w:rPr/>
              <w:t>All outstanding liabilities before 2016, net of reinsurance</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205</w:t>
            </w:r>
          </w:p>
        </w:tc>
        <w:tc>
          <w:tcPr>
            <w:tcW w:w="139" w:type="dxa"/>
            <w:tcBorders/>
            <w:vAlign w:val="bottom"/>
          </w:tcPr>
          <w:p>
            <w:pPr>
              <w:pStyle w:val="TableContents"/>
              <w:bidi w:val="0"/>
              <w:spacing w:before="0" w:after="283"/>
              <w:jc w:val="left"/>
              <w:rPr/>
            </w:pPr>
            <w:r>
              <w:rPr/>
              <w:t> </w:t>
            </w:r>
          </w:p>
        </w:tc>
      </w:tr>
      <w:tr>
        <w:trPr/>
        <w:tc>
          <w:tcPr>
            <w:tcW w:w="9045" w:type="dxa"/>
            <w:gridSpan w:val="36"/>
            <w:tcBorders/>
            <w:shd w:fill="CCEEFF" w:val="clear"/>
            <w:vAlign w:val="bottom"/>
          </w:tcPr>
          <w:p>
            <w:pPr>
              <w:pStyle w:val="TableContents"/>
              <w:bidi w:val="0"/>
              <w:spacing w:before="0" w:after="0"/>
              <w:jc w:val="right"/>
              <w:rPr/>
            </w:pPr>
            <w:r>
              <w:rPr/>
              <w:t>Liabilities for losses, claims and loss adjustment expenses, net of reinsurance</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42" w:type="dxa"/>
            <w:tcBorders>
              <w:bottom w:val="double" w:sz="8" w:space="0" w:color="000000"/>
            </w:tcBorders>
            <w:shd w:fill="CCEEFF" w:val="clear"/>
            <w:tcMar>
              <w:bottom w:w="28" w:type="dxa"/>
            </w:tcMar>
            <w:vAlign w:val="bottom"/>
          </w:tcPr>
          <w:p>
            <w:pPr>
              <w:pStyle w:val="TableContents"/>
              <w:bidi w:val="0"/>
              <w:spacing w:before="0" w:after="0"/>
              <w:jc w:val="right"/>
              <w:rPr/>
            </w:pPr>
            <w:r>
              <w:rPr/>
              <w:t>3,507</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sz w:val="20"/>
          <w:u w:val="single"/>
        </w:rPr>
      </w:pPr>
      <w:r>
        <w:rPr>
          <w:rFonts w:ascii="Times New Roman" w:hAnsi="Times New Roman"/>
          <w:b/>
          <w:sz w:val="20"/>
          <w:u w:val="single"/>
        </w:rPr>
        <w:t>Surety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8" w:name="z11d505687f474d13b8ed22fa4740a508"/>
      <w:bookmarkStart w:id="249" w:name="z11d505687f474d13b8ed22fa4740a508"/>
      <w:bookmarkEnd w:id="249"/>
    </w:p>
    <w:tbl>
      <w:tblPr>
        <w:tblW w:w="13075"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710"/>
        <w:gridCol w:w="90"/>
        <w:gridCol w:w="90"/>
        <w:gridCol w:w="227"/>
        <w:gridCol w:w="723"/>
        <w:gridCol w:w="90"/>
        <w:gridCol w:w="90"/>
        <w:gridCol w:w="361"/>
        <w:gridCol w:w="874"/>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2365" w:type="dxa"/>
            <w:gridSpan w:val="6"/>
            <w:vMerge w:val="restart"/>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35" w:type="dxa"/>
            <w:vMerge w:val="restart"/>
            <w:tcBorders/>
            <w:vAlign w:val="bottom"/>
          </w:tcPr>
          <w:p>
            <w:pPr>
              <w:pStyle w:val="TableContents"/>
              <w:bidi w:val="0"/>
              <w:spacing w:before="0" w:after="283"/>
              <w:jc w:val="left"/>
              <w:rPr/>
            </w:pPr>
            <w:r>
              <w:rPr/>
            </w:r>
          </w:p>
        </w:tc>
      </w:tr>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2365" w:type="dxa"/>
            <w:gridSpan w:val="6"/>
            <w:vMerge w:val="continue"/>
            <w:tcBorders>
              <w:bottom w:val="single" w:sz="12" w:space="0" w:color="000000"/>
            </w:tcBorders>
            <w:tcMar>
              <w:bottom w:w="28" w:type="dxa"/>
            </w:tcMar>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r>
          </w:p>
        </w:tc>
        <w:tc>
          <w:tcPr>
            <w:tcW w:w="9340" w:type="dxa"/>
            <w:gridSpan w:val="38"/>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5" w:type="dxa"/>
            <w:vMerge w:val="restart"/>
            <w:tcBorders/>
            <w:vAlign w:val="bottom"/>
          </w:tcPr>
          <w:p>
            <w:pPr>
              <w:pStyle w:val="TableContents"/>
              <w:bidi w:val="0"/>
              <w:spacing w:before="0" w:after="283"/>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340" w:type="dxa"/>
            <w:gridSpan w:val="38"/>
            <w:vMerge w:val="restart"/>
            <w:tcBorders>
              <w:bottom w:val="single" w:sz="12" w:space="0" w:color="000000"/>
            </w:tcBorders>
            <w:tcMar>
              <w:bottom w:w="28" w:type="dxa"/>
            </w:tcMar>
            <w:vAlign w:val="bottom"/>
          </w:tcPr>
          <w:p>
            <w:pPr>
              <w:pStyle w:val="TableContents"/>
              <w:bidi w:val="0"/>
              <w:spacing w:before="0" w:after="0"/>
              <w:jc w:val="center"/>
              <w:rPr>
                <w:b/>
              </w:rPr>
            </w:pPr>
            <w:r>
              <w:rPr>
                <w:b/>
              </w:rPr>
              <w:t>Incurred Losses, Claims and Allocated Loss Adjustment Expenses, Net of</w:t>
            </w:r>
          </w:p>
          <w:p>
            <w:pPr>
              <w:pStyle w:val="TableContents"/>
              <w:bidi w:val="0"/>
              <w:spacing w:before="0" w:after="0"/>
              <w:jc w:val="center"/>
              <w:rPr>
                <w:b/>
              </w:rPr>
            </w:pPr>
            <w:r>
              <w:rPr>
                <w:b/>
              </w:rPr>
              <w:t>Reinsurance</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340" w:type="dxa"/>
            <w:gridSpan w:val="38"/>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235"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3,314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1,654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pPr>
            <w:r>
              <w:rPr/>
              <w:t>$</w:t>
            </w:r>
          </w:p>
        </w:tc>
        <w:tc>
          <w:tcPr>
            <w:tcW w:w="72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0"/>
              <w:jc w:val="left"/>
              <w:rPr/>
            </w:pPr>
            <w:r>
              <w:rPr/>
              <w:t>$</w:t>
            </w:r>
          </w:p>
        </w:tc>
        <w:tc>
          <w:tcPr>
            <w:tcW w:w="874" w:type="dxa"/>
            <w:tcBorders/>
            <w:shd w:fill="CCEEFF" w:val="clear"/>
            <w:vAlign w:val="bottom"/>
          </w:tcPr>
          <w:p>
            <w:pPr>
              <w:pStyle w:val="TableContents"/>
              <w:bidi w:val="0"/>
              <w:spacing w:before="0" w:after="0"/>
              <w:jc w:val="right"/>
              <w:rPr/>
            </w:pPr>
            <w:r>
              <w:rPr/>
              <w:t>50</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3,671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3,799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3,629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3,514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47</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3,528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1,938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1,381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67</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2,130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657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630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64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2,263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32</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2,936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1,524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23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3,202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2,339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2,296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2,265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36</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2,634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1,627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1,581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51</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2,324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1,074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159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122</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1,771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1,413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33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14,839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50" w:name="z54a314d753184b6fa48593927f38c460"/>
      <w:bookmarkStart w:id="251" w:name="z54a314d753184b6fa48593927f38c460"/>
      <w:bookmarkEnd w:id="251"/>
    </w:p>
    <w:tbl>
      <w:tblPr>
        <w:tblW w:w="10530"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710"/>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35" w:type="dxa"/>
            <w:tcBorders/>
            <w:vAlign w:val="bottom"/>
          </w:tcPr>
          <w:p>
            <w:pPr>
              <w:pStyle w:val="TableContents"/>
              <w:bidi w:val="0"/>
              <w:spacing w:before="0" w:after="283"/>
              <w:jc w:val="left"/>
              <w:rPr/>
            </w:pPr>
            <w:r>
              <w:rPr/>
              <w:t> </w:t>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1,054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1,772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1,654</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1,971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3,523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3,545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3,394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3,388</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1,157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1,454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748</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424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400</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803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1,475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2,191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2,180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2,153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1,602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1,565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735</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211</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12,753</w:t>
            </w:r>
          </w:p>
        </w:tc>
        <w:tc>
          <w:tcPr>
            <w:tcW w:w="135" w:type="dxa"/>
            <w:tcBorders/>
            <w:shd w:fill="CCEEFF" w:val="clear"/>
            <w:vAlign w:val="bottom"/>
          </w:tcPr>
          <w:p>
            <w:pPr>
              <w:pStyle w:val="TableContents"/>
              <w:bidi w:val="0"/>
              <w:spacing w:before="0" w:after="283"/>
              <w:jc w:val="left"/>
              <w:rPr/>
            </w:pPr>
            <w:r>
              <w:rPr/>
              <w:t> </w:t>
            </w:r>
          </w:p>
        </w:tc>
      </w:tr>
      <w:tr>
        <w:trPr/>
        <w:tc>
          <w:tcPr>
            <w:tcW w:w="9335" w:type="dxa"/>
            <w:gridSpan w:val="36"/>
            <w:tcBorders/>
            <w:vAlign w:val="bottom"/>
          </w:tcPr>
          <w:p>
            <w:pPr>
              <w:pStyle w:val="TableContents"/>
              <w:bidi w:val="0"/>
              <w:spacing w:before="0" w:after="0"/>
              <w:jc w:val="right"/>
              <w:rPr/>
            </w:pPr>
            <w:r>
              <w:rPr/>
              <w:t>All outstanding liabilities before 2016, net of reinsurance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47</w:t>
            </w:r>
          </w:p>
        </w:tc>
        <w:tc>
          <w:tcPr>
            <w:tcW w:w="135" w:type="dxa"/>
            <w:tcBorders/>
            <w:vAlign w:val="bottom"/>
          </w:tcPr>
          <w:p>
            <w:pPr>
              <w:pStyle w:val="TableContents"/>
              <w:bidi w:val="0"/>
              <w:spacing w:before="0" w:after="283"/>
              <w:jc w:val="left"/>
              <w:rPr/>
            </w:pPr>
            <w:r>
              <w:rPr/>
              <w:t> </w:t>
            </w:r>
          </w:p>
        </w:tc>
      </w:tr>
      <w:tr>
        <w:trPr/>
        <w:tc>
          <w:tcPr>
            <w:tcW w:w="9335" w:type="dxa"/>
            <w:gridSpan w:val="36"/>
            <w:tcBorders/>
            <w:shd w:fill="CCEEFF" w:val="clear"/>
            <w:vAlign w:val="bottom"/>
          </w:tcPr>
          <w:p>
            <w:pPr>
              <w:pStyle w:val="TableContents"/>
              <w:bidi w:val="0"/>
              <w:spacing w:before="0" w:after="0"/>
              <w:jc w:val="right"/>
              <w:rPr/>
            </w:pPr>
            <w:r>
              <w:rPr/>
              <w:t>Liabilities for losses, claims and loss adjustment expenses, net of reinsurance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2,133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property and casualty lines of business, the number of claims presented above equals the number of occurrences by type of claim reported to the Company. The number of claims reported during a given year corresponds to the number of claims records opened during the year. Frequency information is maintained on a cumulative basis by accident year by line of business. For automobile claims, a claim count is separately maintained for bodily injury, property damage and physical damage claims. The Company has consistently monitored claim frequency on this basis, and believes this provides more meaningful information than using claimant count which can change over the course of settling a claim.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general, when a claim is reported, claims representatives establish a “case reserve” for the estimated amount of the ultimate payment based on the known information of the claim at that time. Claims managers review and monitor all property and casualty claims in excess of $25,000. As new information becomes available or payments are made on a claim, the case reserve is adjusted to reflect the revised estimate of the ultimate amount to be paid out. Estimates and assumptions pertaining to individual claims are based on complex and subjective judgments and subject to change at any time as new information becomes available.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to case reserves, IBNR reserves are established to provide for claims which have not been reported to the Company as of the reporting date as well as potential adverse development on known case reserves. IBNR reserve estimates are derived through a number of analytical techniques. Actuarial data is analyzed by line of business, coverage and accident year. Qualitative factors are also considered in determining IBNR reserves and include such factors as judicial decisions, general economic trends such as inflation, changes in policy forms, and underwriting changes. Reserves are reviewed quarterly and any indicated adjustments are made.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Because of the inherent uncertainties in establishing both case and IBNR reserves, ultimate loss experience may prove better or worse than indicated by the combined claim reserves. Adjustments to claim reserves are reflected in the period recognized and could increase or decrease earnings for the period.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is supplementary information about average historical claims duration as of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2" w:name="zf3de4390ab7e481da8b4f5c643a6025b"/>
      <w:bookmarkStart w:id="253" w:name="zf3de4390ab7e481da8b4f5c643a6025b"/>
      <w:bookmarkEnd w:id="253"/>
    </w:p>
    <w:tbl>
      <w:tblPr>
        <w:tblW w:w="10260" w:type="dxa"/>
        <w:jc w:val="left"/>
        <w:tblInd w:w="0" w:type="dxa"/>
        <w:tblLayout w:type="fixed"/>
        <w:tblCellMar>
          <w:top w:w="0" w:type="dxa"/>
          <w:left w:w="0" w:type="dxa"/>
          <w:bottom w:w="0" w:type="dxa"/>
          <w:right w:w="0" w:type="dxa"/>
        </w:tblCellMar>
      </w:tblPr>
      <w:tblGrid>
        <w:gridCol w:w="1190"/>
        <w:gridCol w:w="90"/>
        <w:gridCol w:w="90"/>
        <w:gridCol w:w="470"/>
        <w:gridCol w:w="245"/>
        <w:gridCol w:w="90"/>
        <w:gridCol w:w="90"/>
        <w:gridCol w:w="470"/>
        <w:gridCol w:w="245"/>
        <w:gridCol w:w="90"/>
        <w:gridCol w:w="90"/>
        <w:gridCol w:w="470"/>
        <w:gridCol w:w="245"/>
        <w:gridCol w:w="90"/>
        <w:gridCol w:w="90"/>
        <w:gridCol w:w="545"/>
        <w:gridCol w:w="245"/>
        <w:gridCol w:w="90"/>
        <w:gridCol w:w="90"/>
        <w:gridCol w:w="470"/>
        <w:gridCol w:w="245"/>
        <w:gridCol w:w="90"/>
        <w:gridCol w:w="123"/>
        <w:gridCol w:w="437"/>
        <w:gridCol w:w="245"/>
        <w:gridCol w:w="90"/>
        <w:gridCol w:w="123"/>
        <w:gridCol w:w="437"/>
        <w:gridCol w:w="245"/>
        <w:gridCol w:w="90"/>
        <w:gridCol w:w="123"/>
        <w:gridCol w:w="437"/>
        <w:gridCol w:w="245"/>
        <w:gridCol w:w="90"/>
        <w:gridCol w:w="123"/>
        <w:gridCol w:w="437"/>
        <w:gridCol w:w="245"/>
        <w:gridCol w:w="90"/>
        <w:gridCol w:w="123"/>
        <w:gridCol w:w="437"/>
        <w:gridCol w:w="290"/>
      </w:tblGrid>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9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Average Annual Percentage Payout of Incurred Claims by Age, Net of Subrogation and Reinsurance (Unaudited)</w:t>
            </w:r>
          </w:p>
        </w:tc>
        <w:tc>
          <w:tcPr>
            <w:tcW w:w="290" w:type="dxa"/>
            <w:tcBorders/>
            <w:vAlign w:val="bottom"/>
          </w:tcPr>
          <w:p>
            <w:pPr>
              <w:pStyle w:val="TableContents"/>
              <w:bidi w:val="0"/>
              <w:spacing w:before="0" w:after="283"/>
              <w:jc w:val="left"/>
              <w:rPr/>
            </w:pPr>
            <w:r>
              <w:rPr/>
              <w:t> </w:t>
            </w:r>
          </w:p>
        </w:tc>
      </w:tr>
      <w:tr>
        <w:trPr/>
        <w:tc>
          <w:tcPr>
            <w:tcW w:w="1190" w:type="dxa"/>
            <w:tcBorders>
              <w:bottom w:val="single" w:sz="12" w:space="0" w:color="000000"/>
            </w:tcBorders>
            <w:tcMar>
              <w:bottom w:w="28" w:type="dxa"/>
            </w:tcMar>
            <w:vAlign w:val="bottom"/>
          </w:tcPr>
          <w:p>
            <w:pPr>
              <w:pStyle w:val="TableContents"/>
              <w:bidi w:val="0"/>
              <w:spacing w:before="0" w:after="0"/>
              <w:jc w:val="left"/>
              <w:rPr>
                <w:b/>
              </w:rPr>
            </w:pPr>
            <w:r>
              <w:rPr>
                <w:b/>
              </w:rPr>
              <w:t>Reserve Line</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1st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2nd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3rd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4th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5th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6th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7th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8th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9th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10th Year</w:t>
            </w:r>
          </w:p>
        </w:tc>
        <w:tc>
          <w:tcPr>
            <w:tcW w:w="290"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80.5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18.1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90" w:type="dxa"/>
            <w:tcBorders/>
            <w:shd w:fill="CCEEFF" w:val="clear"/>
            <w:vAlign w:val="bottom"/>
          </w:tcPr>
          <w:p>
            <w:pPr>
              <w:pStyle w:val="TableContents"/>
              <w:bidi w:val="0"/>
              <w:spacing w:before="0" w:after="0"/>
              <w:jc w:val="left"/>
              <w:rPr/>
            </w:pPr>
            <w:r>
              <w:rPr/>
              <w:t>%</w:t>
            </w:r>
          </w:p>
        </w:tc>
      </w:tr>
      <w:tr>
        <w:trPr/>
        <w:tc>
          <w:tcPr>
            <w:tcW w:w="1190" w:type="dxa"/>
            <w:tcBorders/>
            <w:vAlign w:val="bottom"/>
          </w:tcPr>
          <w:p>
            <w:pPr>
              <w:pStyle w:val="TableContents"/>
              <w:bidi w:val="0"/>
              <w:spacing w:before="0" w:after="0"/>
              <w:jc w:val="left"/>
              <w:rPr/>
            </w:pPr>
            <w:r>
              <w:rPr/>
              <w:t>Automobile liability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24.6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29.4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17.6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pPr>
            <w:r>
              <w:rPr/>
              <w:t>14.2</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8.5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3.8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2.5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90" w:type="dxa"/>
            <w:tcBorders/>
            <w:vAlign w:val="bottom"/>
          </w:tcPr>
          <w:p>
            <w:pPr>
              <w:pStyle w:val="TableContents"/>
              <w:bidi w:val="0"/>
              <w:spacing w:before="0" w:after="0"/>
              <w:jc w:val="left"/>
              <w:rPr/>
            </w:pPr>
            <w:r>
              <w:rPr/>
              <w:t>%</w:t>
            </w:r>
          </w:p>
        </w:tc>
      </w:tr>
      <w:tr>
        <w:trPr/>
        <w:tc>
          <w:tcPr>
            <w:tcW w:w="1190" w:type="dxa"/>
            <w:tcBorders/>
            <w:shd w:fill="CCEEFF" w:val="clear"/>
            <w:vAlign w:val="bottom"/>
          </w:tcPr>
          <w:p>
            <w:pPr>
              <w:pStyle w:val="TableContents"/>
              <w:bidi w:val="0"/>
              <w:spacing w:before="0" w:after="0"/>
              <w:jc w:val="left"/>
              <w:rPr/>
            </w:pPr>
            <w:r>
              <w:rPr/>
              <w:t>Automobile physical damage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80.3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16.9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0.4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90" w:type="dxa"/>
            <w:tcBorders/>
            <w:shd w:fill="CCEEFF" w:val="clear"/>
            <w:vAlign w:val="bottom"/>
          </w:tcPr>
          <w:p>
            <w:pPr>
              <w:pStyle w:val="TableContents"/>
              <w:bidi w:val="0"/>
              <w:spacing w:before="0" w:after="0"/>
              <w:jc w:val="left"/>
              <w:rPr/>
            </w:pPr>
            <w:r>
              <w:rPr/>
              <w:t>%</w:t>
            </w:r>
          </w:p>
        </w:tc>
      </w:tr>
      <w:tr>
        <w:trPr/>
        <w:tc>
          <w:tcPr>
            <w:tcW w:w="1190" w:type="dxa"/>
            <w:tcBorders/>
            <w:vAlign w:val="bottom"/>
          </w:tcPr>
          <w:p>
            <w:pPr>
              <w:pStyle w:val="TableContents"/>
              <w:bidi w:val="0"/>
              <w:spacing w:before="0" w:after="0"/>
              <w:jc w:val="left"/>
              <w:rPr/>
            </w:pPr>
            <w:r>
              <w:rPr/>
              <w:t>General liability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18.1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23.6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24.4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pPr>
            <w:r>
              <w:rPr/>
              <w:t>16.9</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12.9</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3.3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4.1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90" w:type="dxa"/>
            <w:tcBorders/>
            <w:vAlign w:val="bottom"/>
          </w:tcPr>
          <w:p>
            <w:pPr>
              <w:pStyle w:val="TableContents"/>
              <w:bidi w:val="0"/>
              <w:spacing w:before="0" w:after="0"/>
              <w:jc w:val="left"/>
              <w:rPr/>
            </w:pPr>
            <w:r>
              <w:rPr/>
              <w:t>%</w:t>
            </w:r>
          </w:p>
        </w:tc>
      </w:tr>
      <w:tr>
        <w:trPr/>
        <w:tc>
          <w:tcPr>
            <w:tcW w:w="1190" w:type="dxa"/>
            <w:tcBorders/>
            <w:shd w:fill="CCEEFF" w:val="clear"/>
            <w:vAlign w:val="bottom"/>
          </w:tcPr>
          <w:p>
            <w:pPr>
              <w:pStyle w:val="TableContents"/>
              <w:bidi w:val="0"/>
              <w:spacing w:before="0" w:after="0"/>
              <w:jc w:val="left"/>
              <w:rPr/>
            </w:pPr>
            <w:r>
              <w:rPr/>
              <w:t>Surety</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46.9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51.6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10.3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-11.7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-7.2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-3.0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-1.0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-0.4</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reconciliation of the net incurred and paid claims development tables to the liability for losses, claims and loss adjustment expenses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4" w:name="zed8e509cae864a00885457fa44304c0d"/>
      <w:bookmarkStart w:id="255" w:name="zed8e509cae864a00885457fa44304c0d"/>
      <w:bookmarkEnd w:id="255"/>
    </w:p>
    <w:tbl>
      <w:tblPr>
        <w:tblW w:w="10194" w:type="dxa"/>
        <w:jc w:val="left"/>
        <w:tblInd w:w="0" w:type="dxa"/>
        <w:tblLayout w:type="fixed"/>
        <w:tblCellMar>
          <w:top w:w="0" w:type="dxa"/>
          <w:left w:w="0" w:type="dxa"/>
          <w:bottom w:w="0" w:type="dxa"/>
          <w:right w:w="0" w:type="dxa"/>
        </w:tblCellMar>
      </w:tblPr>
      <w:tblGrid>
        <w:gridCol w:w="7985"/>
        <w:gridCol w:w="90"/>
        <w:gridCol w:w="336"/>
        <w:gridCol w:w="1648"/>
        <w:gridCol w:w="135"/>
      </w:tblGrid>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pPr>
            <w:r>
              <w:rPr/>
              <w:t>Net outstanding liabilities:</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0"/>
              <w:jc w:val="left"/>
              <w:rPr/>
            </w:pPr>
            <w:r>
              <w:rPr/>
              <w:t>$</w:t>
            </w:r>
          </w:p>
        </w:tc>
        <w:tc>
          <w:tcPr>
            <w:tcW w:w="1648" w:type="dxa"/>
            <w:tcBorders/>
            <w:shd w:fill="CCEEFF" w:val="clear"/>
            <w:vAlign w:val="bottom"/>
          </w:tcPr>
          <w:p>
            <w:pPr>
              <w:pStyle w:val="TableContents"/>
              <w:bidi w:val="0"/>
              <w:spacing w:before="0" w:after="0"/>
              <w:jc w:val="right"/>
              <w:rPr/>
            </w:pPr>
            <w:r>
              <w:rPr/>
              <w:t>12,584</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Automobile liability</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63,204</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Automobile physical damage</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2,843</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General liability</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3,507</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Surety</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2,133</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lineRule="auto" w:line="240" w:before="0" w:after="0"/>
              <w:ind w:left="180" w:right="0" w:hanging="0"/>
              <w:jc w:val="left"/>
              <w:rPr/>
            </w:pPr>
            <w:r>
              <w:rPr/>
              <w:t>Other short-duration insurance lines(1)</w:t>
            </w:r>
          </w:p>
        </w:tc>
        <w:tc>
          <w:tcPr>
            <w:tcW w:w="90" w:type="dxa"/>
            <w:tcBorders/>
            <w:vAlign w:val="bottom"/>
          </w:tcPr>
          <w:p>
            <w:pPr>
              <w:pStyle w:val="TableContents"/>
              <w:bidi w:val="0"/>
              <w:spacing w:before="0" w:after="283"/>
              <w:jc w:val="left"/>
              <w:rPr/>
            </w:pPr>
            <w:r>
              <w:rPr/>
              <w:t> </w:t>
            </w:r>
          </w:p>
        </w:tc>
        <w:tc>
          <w:tcPr>
            <w:tcW w:w="3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tcMar>
              <w:bottom w:w="28" w:type="dxa"/>
            </w:tcMar>
            <w:vAlign w:val="bottom"/>
          </w:tcPr>
          <w:p>
            <w:pPr>
              <w:pStyle w:val="TableContents"/>
              <w:bidi w:val="0"/>
              <w:spacing w:before="0" w:after="0"/>
              <w:jc w:val="right"/>
              <w:rPr/>
            </w:pPr>
            <w:r>
              <w:rPr/>
              <w:t>2,561</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Liabilities for unpaid losses, claims and loss adjustment expenses, net of reinsurance</w:t>
            </w:r>
          </w:p>
        </w:tc>
        <w:tc>
          <w:tcPr>
            <w:tcW w:w="90" w:type="dxa"/>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shd w:fill="CCEEFF" w:val="clear"/>
            <w:tcMar>
              <w:bottom w:w="28" w:type="dxa"/>
            </w:tcMar>
            <w:vAlign w:val="bottom"/>
          </w:tcPr>
          <w:p>
            <w:pPr>
              <w:pStyle w:val="TableContents"/>
              <w:bidi w:val="0"/>
              <w:spacing w:before="0" w:after="0"/>
              <w:jc w:val="right"/>
              <w:rPr/>
            </w:pPr>
            <w:r>
              <w:rPr/>
              <w:t>86,832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Reinsurance recoverable on unpaid losses:</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Medicare Supplement</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11,583</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Automobile liability</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4,842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Automobile physical damage</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209</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General liability</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2,664</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Other short-duration insurance lines</w:t>
            </w:r>
          </w:p>
        </w:tc>
        <w:tc>
          <w:tcPr>
            <w:tcW w:w="90" w:type="dxa"/>
            <w:tcBorders/>
            <w:vAlign w:val="bottom"/>
          </w:tcPr>
          <w:p>
            <w:pPr>
              <w:pStyle w:val="TableContents"/>
              <w:bidi w:val="0"/>
              <w:spacing w:before="0" w:after="283"/>
              <w:jc w:val="left"/>
              <w:rPr/>
            </w:pPr>
            <w:r>
              <w:rPr/>
              <w:t> </w:t>
            </w:r>
          </w:p>
        </w:tc>
        <w:tc>
          <w:tcPr>
            <w:tcW w:w="3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tcMar>
              <w:bottom w:w="28" w:type="dxa"/>
            </w:tcMar>
            <w:vAlign w:val="bottom"/>
          </w:tcPr>
          <w:p>
            <w:pPr>
              <w:pStyle w:val="TableContents"/>
              <w:bidi w:val="0"/>
              <w:spacing w:before="0" w:after="0"/>
              <w:jc w:val="right"/>
              <w:rPr/>
            </w:pPr>
            <w:r>
              <w:rPr/>
              <w:t>5,054</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Total reinsurance recoverable on unpaid losses</w:t>
            </w:r>
          </w:p>
        </w:tc>
        <w:tc>
          <w:tcPr>
            <w:tcW w:w="90" w:type="dxa"/>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shd w:fill="CCEEFF" w:val="clear"/>
            <w:tcMar>
              <w:bottom w:w="28" w:type="dxa"/>
            </w:tcMar>
            <w:vAlign w:val="bottom"/>
          </w:tcPr>
          <w:p>
            <w:pPr>
              <w:pStyle w:val="TableContents"/>
              <w:bidi w:val="0"/>
              <w:spacing w:before="0" w:after="0"/>
              <w:jc w:val="right"/>
              <w:rPr/>
            </w:pPr>
            <w:r>
              <w:rPr/>
              <w:t>24,352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Unallocated claims adjustment expenses</w:t>
            </w:r>
          </w:p>
        </w:tc>
        <w:tc>
          <w:tcPr>
            <w:tcW w:w="90" w:type="dxa"/>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shd w:fill="CCEEFF" w:val="clear"/>
            <w:tcMar>
              <w:bottom w:w="28" w:type="dxa"/>
            </w:tcMar>
            <w:vAlign w:val="bottom"/>
          </w:tcPr>
          <w:p>
            <w:pPr>
              <w:pStyle w:val="TableContents"/>
              <w:bidi w:val="0"/>
              <w:spacing w:before="0" w:after="0"/>
              <w:jc w:val="right"/>
              <w:rPr/>
            </w:pPr>
            <w:r>
              <w:rPr/>
              <w:t>2,652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Total gross liability for unpaid losses, claims and loss adjustment expenses</w:t>
            </w:r>
          </w:p>
        </w:tc>
        <w:tc>
          <w:tcPr>
            <w:tcW w:w="90" w:type="dxa"/>
            <w:tcBorders/>
            <w:shd w:fill="CCEEFF" w:val="clear"/>
            <w:vAlign w:val="bottom"/>
          </w:tcPr>
          <w:p>
            <w:pPr>
              <w:pStyle w:val="TableContents"/>
              <w:bidi w:val="0"/>
              <w:spacing w:before="0" w:after="283"/>
              <w:jc w:val="left"/>
              <w:rPr/>
            </w:pPr>
            <w:r>
              <w:rPr/>
              <w:t> </w:t>
            </w:r>
          </w:p>
        </w:tc>
        <w:tc>
          <w:tcPr>
            <w:tcW w:w="33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648" w:type="dxa"/>
            <w:tcBorders>
              <w:bottom w:val="double" w:sz="8" w:space="0" w:color="000000"/>
            </w:tcBorders>
            <w:shd w:fill="CCEEFF" w:val="clear"/>
            <w:tcMar>
              <w:bottom w:w="28" w:type="dxa"/>
            </w:tcMar>
            <w:vAlign w:val="bottom"/>
          </w:tcPr>
          <w:p>
            <w:pPr>
              <w:pStyle w:val="TableContents"/>
              <w:bidi w:val="0"/>
              <w:spacing w:before="0" w:after="0"/>
              <w:jc w:val="right"/>
              <w:rPr/>
            </w:pPr>
            <w:r>
              <w:rPr/>
              <w:t>113,836</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150"/>
        <w:jc w:val="both"/>
        <w:rPr>
          <w:rFonts w:ascii="Times New Roman" w:hAnsi="Times New Roman"/>
          <w:sz w:val="20"/>
        </w:rPr>
      </w:pPr>
      <w:r>
        <w:rPr>
          <w:rFonts w:ascii="Times New Roman" w:hAnsi="Times New Roman"/>
          <w:sz w:val="20"/>
        </w:rPr>
        <w:t>(1) For American Southern, other short duration insurance lines are inland marine cargo policies. For Bankers Fidelity, other short duration insurance lines for which the detailed claim development is not shown are group accident and health products, which collectively have a claim liability of $705. These products are group critical illness, group disability income, group hospital indemnity, and group accident and medical expense. There are no reinsurance arrangements for any of these Bankers Fidelity products.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9. Reinsurance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accordance with general practice in the insurance industry, portions of the life, property and casualty insurance written by the Company are reinsured; however, the Company remains liable with respect to reinsurance ceded should any reinsurer be unable or unwilling to meet its obligations. Approximately 99.8% of the Company’s reinsurance recoverables were due from a single reinsurer as of December 31, 2025. Reinsurance recoverables of $25,539 were due from General Re Corporation, rated “AA+” by Standard &amp; Poor’s and “A++” (Superior) by A.M. Best. Allowances for uncollectible amounts are established against reinsurance recoverables, if appropriate.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Southern’s basic reinsurance treaties generally cover all claims in excess of specified per occurrence limitations. Limits per occurrence within the reinsurance treaties are as follows: Inland marine and commercial automobile physical damage - $225,000 excess of $125,000 retention; and automobile liability and general liability - excess coverage of $2,000 less retentions that may vary from $100,000 to $700,000 depending on the account. American Southern maintains a property catastrophe treaty with a $5,500 limit excess of $500,000 retention.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entered into reinsurance contracts ceding the excess of its life retention. The maximum retention by Bankers Fidelity on any one individual life insurance policyholder is $200. As of December 31, 2025, $5,700 of the $1,040,300 of life insurance in force at Bankers Fidelity was reinsured under a combination of coinsurance and yearly renewable term agreements. Certain prior year reinsurance agreements also remain in force although they no longer provide reinsurance for new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also entered into a reinsurance contract ceding excess new Medicare Supplement business to General Re Life Corporation. Ceding thresholds are set annually. During 2025, the liability of the reinsurer was 71% of all new Medicare Supplement business issued by the Company. This percentage is calculated based on a cession percentage of 50% on amounts of new business of up to $30,000 of annualized premium, and 100% of all new Medicare Supplement business in excess of $30,000 of annualized premium. Accordingly, $36,900 of the Company’s $51,900 of new annualized Medicare Supplement premium was ceded.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effects of reinsurance on premiums written, premiums earned and insurance benefits and losses incurred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6" w:name="zfffed7cc1bce4d2bada2ef2e3c19d56a"/>
      <w:bookmarkStart w:id="257" w:name="zfffed7cc1bce4d2bada2ef2e3c19d56a"/>
      <w:bookmarkEnd w:id="257"/>
    </w:p>
    <w:tbl>
      <w:tblPr>
        <w:tblW w:w="7920" w:type="dxa"/>
        <w:jc w:val="left"/>
        <w:tblInd w:w="0" w:type="dxa"/>
        <w:tblLayout w:type="fixed"/>
        <w:tblCellMar>
          <w:top w:w="0" w:type="dxa"/>
          <w:left w:w="0" w:type="dxa"/>
          <w:bottom w:w="0" w:type="dxa"/>
          <w:right w:w="0" w:type="dxa"/>
        </w:tblCellMar>
      </w:tblPr>
      <w:tblGrid>
        <w:gridCol w:w="3935"/>
        <w:gridCol w:w="90"/>
        <w:gridCol w:w="203"/>
        <w:gridCol w:w="852"/>
        <w:gridCol w:w="125"/>
        <w:gridCol w:w="90"/>
        <w:gridCol w:w="170"/>
        <w:gridCol w:w="830"/>
        <w:gridCol w:w="125"/>
        <w:gridCol w:w="90"/>
        <w:gridCol w:w="170"/>
        <w:gridCol w:w="830"/>
        <w:gridCol w:w="410"/>
      </w:tblGrid>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895" w:type="dxa"/>
            <w:gridSpan w:val="11"/>
            <w:tcBorders>
              <w:bottom w:val="single" w:sz="12" w:space="0" w:color="000000"/>
            </w:tcBorders>
            <w:tcMar>
              <w:bottom w:w="28" w:type="dxa"/>
            </w:tcMar>
            <w:vAlign w:val="bottom"/>
          </w:tcPr>
          <w:p>
            <w:pPr>
              <w:pStyle w:val="TableContents"/>
              <w:bidi w:val="0"/>
              <w:spacing w:before="0" w:after="0"/>
              <w:jc w:val="center"/>
              <w:rPr>
                <w:b/>
              </w:rPr>
            </w:pPr>
            <w:r>
              <w:rPr>
                <w:b/>
              </w:rPr>
              <w:t>For the Year Ended Dec 31, 2025</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pPr>
            <w:r>
              <w:rPr/>
            </w:r>
          </w:p>
          <w:p>
            <w:pPr>
              <w:pStyle w:val="TableContents"/>
              <w:bidi w:val="0"/>
              <w:spacing w:before="0" w:after="0"/>
              <w:jc w:val="center"/>
              <w:rPr>
                <w:b/>
              </w:rPr>
            </w:pPr>
            <w:r>
              <w:rPr>
                <w:b/>
              </w:rPr>
              <w:t>Total</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Direct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pPr>
            <w:r>
              <w:rPr/>
              <w:t>$</w:t>
            </w:r>
          </w:p>
        </w:tc>
        <w:tc>
          <w:tcPr>
            <w:tcW w:w="852" w:type="dxa"/>
            <w:tcBorders/>
            <w:shd w:fill="CCEEFF" w:val="clear"/>
            <w:vAlign w:val="bottom"/>
          </w:tcPr>
          <w:p>
            <w:pPr>
              <w:pStyle w:val="TableContents"/>
              <w:bidi w:val="0"/>
              <w:spacing w:before="0" w:after="0"/>
              <w:jc w:val="right"/>
              <w:rPr/>
            </w:pPr>
            <w:r>
              <w:rPr/>
              <w:t>54,146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177,947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232,093</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Assumed premiums written</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42,453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42,453</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Ceded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pPr>
            <w:r>
              <w:rPr/>
              <w:t>(6,165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(68,234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(74,399</w:t>
            </w:r>
          </w:p>
        </w:tc>
        <w:tc>
          <w:tcPr>
            <w:tcW w:w="410" w:type="dxa"/>
            <w:tcBorders/>
            <w:shd w:fill="CCEEFF" w:val="clear"/>
            <w:vAlign w:val="bottom"/>
          </w:tcPr>
          <w:p>
            <w:pPr>
              <w:pStyle w:val="TableContents"/>
              <w:bidi w:val="0"/>
              <w:spacing w:before="0" w:after="283"/>
              <w:jc w:val="left"/>
              <w:rPr/>
            </w:pPr>
            <w:r>
              <w:rPr/>
              <w:t>)</w:t>
            </w:r>
          </w:p>
        </w:tc>
      </w:tr>
      <w:tr>
        <w:trPr/>
        <w:tc>
          <w:tcPr>
            <w:tcW w:w="3935" w:type="dxa"/>
            <w:tcBorders/>
            <w:vAlign w:val="bottom"/>
          </w:tcPr>
          <w:p>
            <w:pPr>
              <w:pStyle w:val="TableContents"/>
              <w:bidi w:val="0"/>
              <w:spacing w:before="0" w:after="0"/>
              <w:jc w:val="left"/>
              <w:rPr/>
            </w:pPr>
            <w:r>
              <w:rPr/>
              <w:t>Net premiums written</w:t>
            </w:r>
          </w:p>
        </w:tc>
        <w:tc>
          <w:tcPr>
            <w:tcW w:w="90" w:type="dxa"/>
            <w:tcBorders/>
            <w:vAlign w:val="bottom"/>
          </w:tcPr>
          <w:p>
            <w:pPr>
              <w:pStyle w:val="TableContents"/>
              <w:bidi w:val="0"/>
              <w:spacing w:before="0" w:after="283"/>
              <w:jc w:val="left"/>
              <w:rPr/>
            </w:pPr>
            <w:r>
              <w:rPr/>
              <w:t> </w:t>
            </w:r>
          </w:p>
        </w:tc>
        <w:tc>
          <w:tcPr>
            <w:tcW w:w="203" w:type="dxa"/>
            <w:tcBorders>
              <w:bottom w:val="double" w:sz="8" w:space="0" w:color="000000"/>
            </w:tcBorders>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tcMar>
              <w:bottom w:w="28" w:type="dxa"/>
            </w:tcMar>
            <w:vAlign w:val="bottom"/>
          </w:tcPr>
          <w:p>
            <w:pPr>
              <w:pStyle w:val="TableContents"/>
              <w:bidi w:val="0"/>
              <w:spacing w:before="0" w:after="0"/>
              <w:jc w:val="right"/>
              <w:rPr/>
            </w:pPr>
            <w:r>
              <w:rPr/>
              <w:t>90,434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109,713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200,147</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Direct premiums earned</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54,268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179,872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234,140</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Assumed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36,401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36,401</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Ceded premiums earned</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(6,165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(68,234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(74,399</w:t>
            </w:r>
          </w:p>
        </w:tc>
        <w:tc>
          <w:tcPr>
            <w:tcW w:w="410" w:type="dxa"/>
            <w:tcBorders/>
            <w:vAlign w:val="bottom"/>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Net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84,504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111,638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196,142</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Provision for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69,390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107,904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177,294</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Reinsurance loss recoveries</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(4,136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(40,483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(44,619</w:t>
            </w:r>
          </w:p>
        </w:tc>
        <w:tc>
          <w:tcPr>
            <w:tcW w:w="410" w:type="dxa"/>
            <w:tcBorders/>
            <w:vAlign w:val="center"/>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65,254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67,421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132,675</w:t>
            </w:r>
          </w:p>
        </w:tc>
        <w:tc>
          <w:tcPr>
            <w:tcW w:w="410" w:type="dxa"/>
            <w:tcBorders/>
            <w:shd w:fill="CCEEFF" w:val="clear"/>
            <w:vAlign w:val="center"/>
          </w:tcPr>
          <w:p>
            <w:pPr>
              <w:pStyle w:val="TableContents"/>
              <w:bidi w:val="0"/>
              <w:spacing w:before="0" w:after="283"/>
              <w:jc w:val="left"/>
              <w:rPr/>
            </w:pPr>
            <w:r>
              <w:rPr/>
              <w:t> </w:t>
            </w:r>
            <w:r>
              <w:rPr/>
              <w:t>(1)</w:t>
            </w:r>
          </w:p>
        </w:tc>
      </w:tr>
    </w:tbl>
    <w:p>
      <w:pPr>
        <w:pStyle w:val="TextBody"/>
        <w:bidi w:val="0"/>
        <w:spacing w:before="0" w:after="0"/>
        <w:jc w:val="left"/>
        <w:rPr/>
      </w:pPr>
      <w:r>
        <w:rPr/>
      </w:r>
    </w:p>
    <w:p>
      <w:pPr>
        <w:pStyle w:val="TextBody"/>
        <w:bidi w:val="0"/>
        <w:spacing w:lineRule="auto" w:line="240" w:before="0" w:after="0"/>
        <w:jc w:val="left"/>
        <w:rPr>
          <w:rFonts w:ascii="Times New Roman" w:hAnsi="Times New Roman"/>
          <w:sz w:val="20"/>
        </w:rPr>
      </w:pPr>
      <w:r>
        <w:rPr>
          <w:rFonts w:ascii="Times New Roman" w:hAnsi="Times New Roman"/>
          <w:sz w:val="20"/>
        </w:rPr>
        <w:t>(1) This line is net of LFPB remeasurement gain of $4,866 for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8" w:name="z1829b63b764547b4b4d6be3fab0ebcd4"/>
      <w:bookmarkStart w:id="259" w:name="z1829b63b764547b4b4d6be3fab0ebcd4"/>
      <w:bookmarkEnd w:id="259"/>
    </w:p>
    <w:tbl>
      <w:tblPr>
        <w:tblW w:w="7929" w:type="dxa"/>
        <w:jc w:val="left"/>
        <w:tblInd w:w="0" w:type="dxa"/>
        <w:tblLayout w:type="fixed"/>
        <w:tblCellMar>
          <w:top w:w="0" w:type="dxa"/>
          <w:left w:w="0" w:type="dxa"/>
          <w:bottom w:w="0" w:type="dxa"/>
          <w:right w:w="0" w:type="dxa"/>
        </w:tblCellMar>
      </w:tblPr>
      <w:tblGrid>
        <w:gridCol w:w="3935"/>
        <w:gridCol w:w="90"/>
        <w:gridCol w:w="203"/>
        <w:gridCol w:w="852"/>
        <w:gridCol w:w="125"/>
        <w:gridCol w:w="90"/>
        <w:gridCol w:w="171"/>
        <w:gridCol w:w="838"/>
        <w:gridCol w:w="125"/>
        <w:gridCol w:w="90"/>
        <w:gridCol w:w="170"/>
        <w:gridCol w:w="830"/>
        <w:gridCol w:w="410"/>
      </w:tblGrid>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04" w:type="dxa"/>
            <w:gridSpan w:val="11"/>
            <w:tcBorders>
              <w:bottom w:val="single" w:sz="12" w:space="0" w:color="000000"/>
            </w:tcBorders>
            <w:tcMar>
              <w:bottom w:w="28" w:type="dxa"/>
            </w:tcMar>
            <w:vAlign w:val="bottom"/>
          </w:tcPr>
          <w:p>
            <w:pPr>
              <w:pStyle w:val="TableContents"/>
              <w:bidi w:val="0"/>
              <w:spacing w:before="0" w:after="0"/>
              <w:jc w:val="center"/>
              <w:rPr>
                <w:b/>
              </w:rPr>
            </w:pPr>
            <w:r>
              <w:rPr>
                <w:b/>
              </w:rPr>
              <w:t>For the Year Ended Dec 31, 2024</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center"/>
              <w:rPr/>
            </w:pPr>
            <w:r>
              <w:rPr/>
              <w:t>(Restated)</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0"/>
              <w:jc w:val="center"/>
              <w:rPr>
                <w:b/>
              </w:rPr>
            </w:pPr>
            <w:r>
              <w:rPr>
                <w:b/>
              </w:rPr>
              <w:t>American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0"/>
              <w:jc w:val="center"/>
              <w:rPr>
                <w:b/>
              </w:rPr>
            </w:pPr>
            <w:r>
              <w:rPr>
                <w:b/>
              </w:rPr>
              <w:t>Bankers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Direct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pPr>
            <w:r>
              <w:rPr/>
              <w:t>$</w:t>
            </w:r>
          </w:p>
        </w:tc>
        <w:tc>
          <w:tcPr>
            <w:tcW w:w="852" w:type="dxa"/>
            <w:tcBorders/>
            <w:shd w:fill="CCEEFF" w:val="clear"/>
            <w:vAlign w:val="bottom"/>
          </w:tcPr>
          <w:p>
            <w:pPr>
              <w:pStyle w:val="TableContents"/>
              <w:bidi w:val="0"/>
              <w:spacing w:before="0" w:after="0"/>
              <w:jc w:val="right"/>
              <w:rPr/>
            </w:pPr>
            <w:r>
              <w:rPr/>
              <w:t>45,837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164,469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210,306</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Assumed premiums written</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27,834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27,834</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Ceded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pPr>
            <w:r>
              <w:rPr/>
              <w:t>(5,979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(53,236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(59,215</w:t>
            </w:r>
          </w:p>
        </w:tc>
        <w:tc>
          <w:tcPr>
            <w:tcW w:w="410" w:type="dxa"/>
            <w:tcBorders/>
            <w:shd w:fill="CCEEFF" w:val="clear"/>
            <w:vAlign w:val="bottom"/>
          </w:tcPr>
          <w:p>
            <w:pPr>
              <w:pStyle w:val="TableContents"/>
              <w:bidi w:val="0"/>
              <w:spacing w:before="0" w:after="283"/>
              <w:jc w:val="left"/>
              <w:rPr/>
            </w:pPr>
            <w:r>
              <w:rPr/>
              <w:t>)</w:t>
            </w:r>
          </w:p>
        </w:tc>
      </w:tr>
      <w:tr>
        <w:trPr/>
        <w:tc>
          <w:tcPr>
            <w:tcW w:w="3935" w:type="dxa"/>
            <w:tcBorders/>
            <w:vAlign w:val="bottom"/>
          </w:tcPr>
          <w:p>
            <w:pPr>
              <w:pStyle w:val="TableContents"/>
              <w:bidi w:val="0"/>
              <w:spacing w:before="0" w:after="0"/>
              <w:jc w:val="left"/>
              <w:rPr/>
            </w:pPr>
            <w:r>
              <w:rPr/>
              <w:t>Net premiums written</w:t>
            </w:r>
          </w:p>
        </w:tc>
        <w:tc>
          <w:tcPr>
            <w:tcW w:w="90" w:type="dxa"/>
            <w:tcBorders/>
            <w:vAlign w:val="bottom"/>
          </w:tcPr>
          <w:p>
            <w:pPr>
              <w:pStyle w:val="TableContents"/>
              <w:bidi w:val="0"/>
              <w:spacing w:before="0" w:after="283"/>
              <w:jc w:val="left"/>
              <w:rPr/>
            </w:pPr>
            <w:r>
              <w:rPr/>
              <w:t> </w:t>
            </w:r>
          </w:p>
        </w:tc>
        <w:tc>
          <w:tcPr>
            <w:tcW w:w="203" w:type="dxa"/>
            <w:tcBorders>
              <w:bottom w:val="double" w:sz="8" w:space="0" w:color="000000"/>
            </w:tcBorders>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tcMar>
              <w:bottom w:w="28" w:type="dxa"/>
            </w:tcMar>
            <w:vAlign w:val="bottom"/>
          </w:tcPr>
          <w:p>
            <w:pPr>
              <w:pStyle w:val="TableContents"/>
              <w:bidi w:val="0"/>
              <w:spacing w:before="0" w:after="0"/>
              <w:jc w:val="right"/>
              <w:rPr/>
            </w:pPr>
            <w:r>
              <w:rPr/>
              <w:t>67,692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283"/>
              <w:jc w:val="left"/>
              <w:rPr/>
            </w:pPr>
            <w:r>
              <w:rPr/>
              <w:t> </w:t>
            </w:r>
          </w:p>
        </w:tc>
        <w:tc>
          <w:tcPr>
            <w:tcW w:w="838" w:type="dxa"/>
            <w:tcBorders>
              <w:bottom w:val="double" w:sz="8" w:space="0" w:color="000000"/>
            </w:tcBorders>
            <w:tcMar>
              <w:bottom w:w="28" w:type="dxa"/>
            </w:tcMar>
            <w:vAlign w:val="bottom"/>
          </w:tcPr>
          <w:p>
            <w:pPr>
              <w:pStyle w:val="TableContents"/>
              <w:bidi w:val="0"/>
              <w:spacing w:before="0" w:after="0"/>
              <w:jc w:val="right"/>
              <w:rPr/>
            </w:pPr>
            <w:r>
              <w:rPr/>
              <w:t>111,233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178,925</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Direct premiums earned</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46,149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164,135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210,284</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Assumed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27,519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27,519</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Ceded premiums earned</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(5,979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pPr>
            <w:r>
              <w:rPr/>
              <w:t>(53,236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(59,215</w:t>
            </w:r>
          </w:p>
        </w:tc>
        <w:tc>
          <w:tcPr>
            <w:tcW w:w="410" w:type="dxa"/>
            <w:tcBorders/>
            <w:vAlign w:val="bottom"/>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Net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67,689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pPr>
            <w:r>
              <w:rPr/>
              <w:t>110,899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178,588</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Provision for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58,024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103,272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161,296</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Reinsurance loss recoveries</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(2,257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pPr>
            <w:r>
              <w:rPr/>
              <w:t>(37,295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(39,552</w:t>
            </w:r>
          </w:p>
        </w:tc>
        <w:tc>
          <w:tcPr>
            <w:tcW w:w="410" w:type="dxa"/>
            <w:tcBorders/>
            <w:vAlign w:val="bottom"/>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55,767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pPr>
            <w:r>
              <w:rPr/>
              <w:t>65,977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121,744</w:t>
            </w:r>
          </w:p>
        </w:tc>
        <w:tc>
          <w:tcPr>
            <w:tcW w:w="410" w:type="dxa"/>
            <w:tcBorders/>
            <w:shd w:fill="CCEEFF" w:val="clear"/>
            <w:vAlign w:val="center"/>
          </w:tcPr>
          <w:p>
            <w:pPr>
              <w:pStyle w:val="TableContents"/>
              <w:bidi w:val="0"/>
              <w:spacing w:before="0" w:after="283"/>
              <w:jc w:val="left"/>
              <w:rPr/>
            </w:pPr>
            <w:r>
              <w:rPr/>
              <w:t> </w:t>
            </w:r>
            <w:r>
              <w:rPr/>
              <w:t>(2)</w:t>
            </w:r>
          </w:p>
        </w:tc>
      </w:tr>
    </w:tbl>
    <w:p>
      <w:pPr>
        <w:pStyle w:val="TextBody"/>
        <w:bidi w:val="0"/>
        <w:spacing w:before="0" w:after="0"/>
        <w:jc w:val="left"/>
        <w:rPr/>
      </w:pPr>
      <w:r>
        <w:rPr/>
        <w:t> </w:t>
      </w:r>
    </w:p>
    <w:p>
      <w:pPr>
        <w:pStyle w:val="TextBody"/>
        <w:bidi w:val="0"/>
        <w:spacing w:lineRule="auto" w:line="240" w:before="0" w:after="0"/>
        <w:jc w:val="left"/>
        <w:rPr>
          <w:rFonts w:ascii="Times New Roman" w:hAnsi="Times New Roman"/>
          <w:sz w:val="20"/>
        </w:rPr>
      </w:pPr>
      <w:r>
        <w:rPr>
          <w:rFonts w:ascii="Times New Roman" w:hAnsi="Times New Roman"/>
          <w:sz w:val="20"/>
        </w:rPr>
        <w:t>(2) This line is net of LFPB remeasurement gain of $2,334 for 2024.</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Components of reinsurance receivables at December 31, 2025 and 2024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0" w:name="zc23016df64754a739ac2d4f1902bfd0f"/>
      <w:bookmarkStart w:id="261" w:name="zc23016df64754a739ac2d4f1902bfd0f"/>
      <w:bookmarkEnd w:id="261"/>
    </w:p>
    <w:tbl>
      <w:tblPr>
        <w:tblW w:w="8104" w:type="dxa"/>
        <w:jc w:val="left"/>
        <w:tblInd w:w="0" w:type="dxa"/>
        <w:tblLayout w:type="fixed"/>
        <w:tblCellMar>
          <w:top w:w="0" w:type="dxa"/>
          <w:left w:w="0" w:type="dxa"/>
          <w:bottom w:w="0" w:type="dxa"/>
          <w:right w:w="0" w:type="dxa"/>
        </w:tblCellMar>
      </w:tblPr>
      <w:tblGrid>
        <w:gridCol w:w="4550"/>
        <w:gridCol w:w="90"/>
        <w:gridCol w:w="235"/>
        <w:gridCol w:w="820"/>
        <w:gridCol w:w="90"/>
        <w:gridCol w:w="90"/>
        <w:gridCol w:w="185"/>
        <w:gridCol w:w="779"/>
        <w:gridCol w:w="125"/>
        <w:gridCol w:w="90"/>
        <w:gridCol w:w="170"/>
        <w:gridCol w:w="710"/>
        <w:gridCol w:w="170"/>
      </w:tblGrid>
      <w:tr>
        <w:trPr/>
        <w:tc>
          <w:tcPr>
            <w:tcW w:w="4550" w:type="dxa"/>
            <w:tcBorders/>
            <w:vAlign w:val="bottom"/>
          </w:tcPr>
          <w:p>
            <w:pPr>
              <w:pStyle w:val="TableContents"/>
              <w:bidi w:val="0"/>
              <w:spacing w:before="0" w:after="283"/>
              <w:jc w:val="left"/>
              <w:rPr/>
            </w:pPr>
            <w:r>
              <w:rPr/>
            </w:r>
          </w:p>
        </w:tc>
        <w:tc>
          <w:tcPr>
            <w:tcW w:w="3384" w:type="dxa"/>
            <w:gridSpan w:val="11"/>
            <w:tcBorders>
              <w:bottom w:val="single" w:sz="12" w:space="0" w:color="000000"/>
            </w:tcBorders>
            <w:tcMar>
              <w:bottom w:w="28" w:type="dxa"/>
            </w:tcMar>
            <w:vAlign w:val="bottom"/>
          </w:tcPr>
          <w:p>
            <w:pPr>
              <w:pStyle w:val="TableContents"/>
              <w:bidi w:val="0"/>
              <w:spacing w:before="0" w:after="283"/>
              <w:jc w:val="center"/>
              <w:rPr>
                <w:b/>
              </w:rPr>
            </w:pPr>
            <w:r>
              <w:rPr>
                <w:b/>
              </w:rPr>
              <w:t>December 31, 2025</w:t>
            </w:r>
          </w:p>
        </w:tc>
        <w:tc>
          <w:tcPr>
            <w:tcW w:w="17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Bankers </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880" w:type="dxa"/>
            <w:gridSpan w:val="2"/>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rPr>
            </w:pPr>
            <w:r>
              <w:rPr>
                <w:b/>
              </w:rPr>
              <w:t>Total</w:t>
            </w:r>
          </w:p>
        </w:tc>
        <w:tc>
          <w:tcPr>
            <w:tcW w:w="170" w:type="dxa"/>
            <w:tcBorders/>
            <w:vAlign w:val="bottom"/>
          </w:tcPr>
          <w:p>
            <w:pPr>
              <w:pStyle w:val="TableContents"/>
              <w:bidi w:val="0"/>
              <w:spacing w:before="0" w:after="283"/>
              <w:jc w:val="left"/>
              <w:rPr/>
            </w:pPr>
            <w:r>
              <w:rPr/>
            </w:r>
          </w:p>
        </w:tc>
      </w:tr>
      <w:tr>
        <w:trPr/>
        <w:tc>
          <w:tcPr>
            <w:tcW w:w="4550" w:type="dxa"/>
            <w:tcBorders/>
            <w:shd w:fill="CCEEFF" w:val="clear"/>
            <w:vAlign w:val="bottom"/>
          </w:tcPr>
          <w:p>
            <w:pPr>
              <w:pStyle w:val="TableContents"/>
              <w:bidi w:val="0"/>
              <w:spacing w:before="0" w:after="0"/>
              <w:jc w:val="left"/>
              <w:rPr/>
            </w:pPr>
            <w:r>
              <w:rPr/>
              <w:t>Recoverable on unpaid losses, net of allowance</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7,715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779" w:type="dxa"/>
            <w:tcBorders/>
            <w:shd w:fill="CCEEFF" w:val="clear"/>
            <w:vAlign w:val="bottom"/>
          </w:tcPr>
          <w:p>
            <w:pPr>
              <w:pStyle w:val="TableContents"/>
              <w:bidi w:val="0"/>
              <w:spacing w:before="0" w:after="0"/>
              <w:jc w:val="right"/>
              <w:rPr/>
            </w:pPr>
            <w:r>
              <w:rPr/>
              <w:t>11,583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19,298</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Recoverable on unpaid benefits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0"/>
              <w:jc w:val="right"/>
              <w:rPr/>
            </w:pPr>
            <w:r>
              <w:rPr/>
              <w:t>5,309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5,309</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Recoverable on paid losses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benefit reserves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0"/>
              <w:jc w:val="right"/>
              <w:rPr/>
            </w:pPr>
            <w:r>
              <w:rPr/>
              <w:t>(105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(105</w:t>
            </w:r>
          </w:p>
        </w:tc>
        <w:tc>
          <w:tcPr>
            <w:tcW w:w="170" w:type="dxa"/>
            <w:tcBorders/>
            <w:vAlign w:val="bottom"/>
          </w:tcPr>
          <w:p>
            <w:pPr>
              <w:pStyle w:val="TableContents"/>
              <w:bidi w:val="0"/>
              <w:spacing w:before="0" w:after="0"/>
              <w:jc w:val="left"/>
              <w:rPr/>
            </w:pPr>
            <w:r>
              <w:rPr/>
              <w:t>)</w:t>
            </w:r>
          </w:p>
        </w:tc>
      </w:tr>
      <w:tr>
        <w:trPr/>
        <w:tc>
          <w:tcPr>
            <w:tcW w:w="4550" w:type="dxa"/>
            <w:tcBorders/>
            <w:shd w:fill="CCEEFF" w:val="clear"/>
            <w:vAlign w:val="bottom"/>
          </w:tcPr>
          <w:p>
            <w:pPr>
              <w:pStyle w:val="TableContents"/>
              <w:bidi w:val="0"/>
              <w:spacing w:before="0" w:after="0"/>
              <w:jc w:val="left"/>
              <w:rPr/>
            </w:pPr>
            <w:r>
              <w:rPr/>
              <w:t>Ceded unearned premiums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advanced premiums</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9" w:type="dxa"/>
            <w:tcBorders>
              <w:bottom w:val="single" w:sz="12" w:space="0" w:color="000000"/>
            </w:tcBorders>
            <w:tcMar>
              <w:bottom w:w="28" w:type="dxa"/>
            </w:tcMar>
            <w:vAlign w:val="bottom"/>
          </w:tcPr>
          <w:p>
            <w:pPr>
              <w:pStyle w:val="TableContents"/>
              <w:bidi w:val="0"/>
              <w:spacing w:before="0" w:after="0"/>
              <w:jc w:val="right"/>
              <w:rPr/>
            </w:pPr>
            <w:r>
              <w:rPr/>
              <w:t>1,037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1,037</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0"/>
              <w:jc w:val="left"/>
              <w:rPr/>
            </w:pPr>
            <w:r>
              <w:rPr/>
              <w:t>Total reinsurance receivables</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7,715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79" w:type="dxa"/>
            <w:tcBorders>
              <w:bottom w:val="double" w:sz="8" w:space="0" w:color="000000"/>
            </w:tcBorders>
            <w:shd w:fill="CCEEFF" w:val="clear"/>
            <w:tcMar>
              <w:bottom w:w="28" w:type="dxa"/>
            </w:tcMar>
            <w:vAlign w:val="bottom"/>
          </w:tcPr>
          <w:p>
            <w:pPr>
              <w:pStyle w:val="TableContents"/>
              <w:bidi w:val="0"/>
              <w:spacing w:before="0" w:after="0"/>
              <w:jc w:val="right"/>
              <w:rPr/>
            </w:pPr>
            <w:r>
              <w:rPr/>
              <w:t>17,824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25,539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2" w:name="z2f038071e11c4d22b3fa4d10fb05b528"/>
      <w:bookmarkStart w:id="263" w:name="z2f038071e11c4d22b3fa4d10fb05b528"/>
      <w:bookmarkEnd w:id="263"/>
    </w:p>
    <w:tbl>
      <w:tblPr>
        <w:tblW w:w="8045" w:type="dxa"/>
        <w:jc w:val="left"/>
        <w:tblInd w:w="0" w:type="dxa"/>
        <w:tblLayout w:type="fixed"/>
        <w:tblCellMar>
          <w:top w:w="0" w:type="dxa"/>
          <w:left w:w="0" w:type="dxa"/>
          <w:bottom w:w="0" w:type="dxa"/>
          <w:right w:w="0" w:type="dxa"/>
        </w:tblCellMar>
      </w:tblPr>
      <w:tblGrid>
        <w:gridCol w:w="4550"/>
        <w:gridCol w:w="90"/>
        <w:gridCol w:w="235"/>
        <w:gridCol w:w="820"/>
        <w:gridCol w:w="90"/>
        <w:gridCol w:w="90"/>
        <w:gridCol w:w="174"/>
        <w:gridCol w:w="731"/>
        <w:gridCol w:w="125"/>
        <w:gridCol w:w="90"/>
        <w:gridCol w:w="170"/>
        <w:gridCol w:w="710"/>
        <w:gridCol w:w="170"/>
      </w:tblGrid>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3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December 31, 2024</w:t>
            </w:r>
          </w:p>
        </w:tc>
        <w:tc>
          <w:tcPr>
            <w:tcW w:w="17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88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b/>
              </w:rPr>
            </w:pPr>
            <w:r>
              <w:rPr>
                <w:b/>
              </w:rPr>
              <w:t>Total</w:t>
            </w:r>
          </w:p>
        </w:tc>
        <w:tc>
          <w:tcPr>
            <w:tcW w:w="170" w:type="dxa"/>
            <w:tcBorders/>
            <w:vAlign w:val="bottom"/>
          </w:tcPr>
          <w:p>
            <w:pPr>
              <w:pStyle w:val="TableContents"/>
              <w:bidi w:val="0"/>
              <w:spacing w:before="0" w:after="283"/>
              <w:jc w:val="left"/>
              <w:rPr/>
            </w:pPr>
            <w:r>
              <w:rPr/>
            </w:r>
          </w:p>
        </w:tc>
      </w:tr>
      <w:tr>
        <w:trPr/>
        <w:tc>
          <w:tcPr>
            <w:tcW w:w="4550" w:type="dxa"/>
            <w:tcBorders/>
            <w:shd w:fill="CCEEFF" w:val="clear"/>
            <w:vAlign w:val="bottom"/>
          </w:tcPr>
          <w:p>
            <w:pPr>
              <w:pStyle w:val="TableContents"/>
              <w:bidi w:val="0"/>
              <w:spacing w:before="0" w:after="0"/>
              <w:jc w:val="left"/>
              <w:rPr/>
            </w:pPr>
            <w:r>
              <w:rPr/>
              <w:t>Recoverable on unpaid losses, net of allowance</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8,602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731" w:type="dxa"/>
            <w:tcBorders/>
            <w:shd w:fill="CCEEFF" w:val="clear"/>
            <w:vAlign w:val="bottom"/>
          </w:tcPr>
          <w:p>
            <w:pPr>
              <w:pStyle w:val="TableContents"/>
              <w:bidi w:val="0"/>
              <w:spacing w:before="0" w:after="0"/>
              <w:jc w:val="right"/>
              <w:rPr/>
            </w:pPr>
            <w:r>
              <w:rPr/>
              <w:t>8,788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17,390</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Recoverable on unpaid benefits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pPr>
            <w:r>
              <w:rPr/>
              <w:t>5,217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5,217</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Recoverable on paid losses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benefit reserves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pPr>
            <w:r>
              <w:rPr/>
              <w:t>(64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(64</w:t>
            </w:r>
          </w:p>
        </w:tc>
        <w:tc>
          <w:tcPr>
            <w:tcW w:w="170" w:type="dxa"/>
            <w:tcBorders/>
            <w:vAlign w:val="bottom"/>
          </w:tcPr>
          <w:p>
            <w:pPr>
              <w:pStyle w:val="TableContents"/>
              <w:bidi w:val="0"/>
              <w:spacing w:before="0" w:after="0"/>
              <w:jc w:val="left"/>
              <w:rPr/>
            </w:pPr>
            <w:r>
              <w:rPr/>
              <w:t>)</w:t>
            </w:r>
          </w:p>
        </w:tc>
      </w:tr>
      <w:tr>
        <w:trPr/>
        <w:tc>
          <w:tcPr>
            <w:tcW w:w="4550" w:type="dxa"/>
            <w:tcBorders/>
            <w:shd w:fill="CCEEFF" w:val="clear"/>
            <w:vAlign w:val="bottom"/>
          </w:tcPr>
          <w:p>
            <w:pPr>
              <w:pStyle w:val="TableContents"/>
              <w:bidi w:val="0"/>
              <w:spacing w:before="0" w:after="0"/>
              <w:jc w:val="left"/>
              <w:rPr/>
            </w:pPr>
            <w:r>
              <w:rPr/>
              <w:t>Ceded unearned premiums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advanced premiums</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before="0" w:after="0"/>
              <w:jc w:val="right"/>
              <w:rPr/>
            </w:pPr>
            <w:r>
              <w:rPr/>
              <w:t>338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338</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0"/>
              <w:jc w:val="left"/>
              <w:rPr/>
            </w:pPr>
            <w:r>
              <w:rPr/>
              <w:t>Total reinsurance receivables</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8,602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31" w:type="dxa"/>
            <w:tcBorders>
              <w:bottom w:val="double" w:sz="8" w:space="0" w:color="000000"/>
            </w:tcBorders>
            <w:shd w:fill="CCEEFF" w:val="clear"/>
            <w:tcMar>
              <w:bottom w:w="28" w:type="dxa"/>
            </w:tcMar>
            <w:vAlign w:val="bottom"/>
          </w:tcPr>
          <w:p>
            <w:pPr>
              <w:pStyle w:val="TableContents"/>
              <w:bidi w:val="0"/>
              <w:spacing w:before="0" w:after="0"/>
              <w:jc w:val="right"/>
              <w:rPr/>
            </w:pPr>
            <w:r>
              <w:rPr/>
              <w:t>14,279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22,881</w:t>
            </w:r>
          </w:p>
        </w:tc>
        <w:tc>
          <w:tcPr>
            <w:tcW w:w="170" w:type="dxa"/>
            <w:tcBorders/>
            <w:shd w:fill="CCEEFF" w:val="clear"/>
            <w:vAlign w:val="bottom"/>
          </w:tcPr>
          <w:p>
            <w:pPr>
              <w:pStyle w:val="TableContents"/>
              <w:bidi w:val="0"/>
              <w:spacing w:before="0" w:after="283"/>
              <w:jc w:val="left"/>
              <w:rPr/>
            </w:pPr>
            <w:r>
              <w:rPr/>
              <w:t> </w:t>
            </w:r>
          </w:p>
        </w:tc>
      </w:tr>
    </w:tbl>
    <w:tbl>
      <w:tblPr>
        <w:tblW w:w="5305" w:type="dxa"/>
        <w:jc w:val="left"/>
        <w:tblInd w:w="0" w:type="dxa"/>
        <w:tblLayout w:type="fixed"/>
        <w:tblCellMar>
          <w:top w:w="0" w:type="dxa"/>
          <w:left w:w="0" w:type="dxa"/>
          <w:bottom w:w="0" w:type="dxa"/>
          <w:right w:w="0" w:type="dxa"/>
        </w:tblCellMar>
      </w:tblPr>
      <w:tblGrid>
        <w:gridCol w:w="2630"/>
        <w:gridCol w:w="90"/>
        <w:gridCol w:w="90"/>
        <w:gridCol w:w="710"/>
        <w:gridCol w:w="245"/>
        <w:gridCol w:w="90"/>
        <w:gridCol w:w="90"/>
        <w:gridCol w:w="710"/>
        <w:gridCol w:w="245"/>
        <w:gridCol w:w="90"/>
        <w:gridCol w:w="90"/>
        <w:gridCol w:w="90"/>
        <w:gridCol w:w="135"/>
      </w:tblGrid>
      <w:tr>
        <w:trPr/>
        <w:tc>
          <w:tcPr>
            <w:tcW w:w="26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pPr>
            <w:r>
              <w:rPr/>
              <w:t>Reinsurance Concentration</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2025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2024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ind w:left="180" w:right="0" w:hanging="0"/>
              <w:jc w:val="left"/>
              <w:rPr/>
            </w:pPr>
            <w:r>
              <w:rPr/>
              <w:t>General 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25,539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22,881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ind w:left="180" w:right="0" w:hanging="0"/>
              <w:jc w:val="left"/>
              <w:rPr/>
            </w:pPr>
            <w:r>
              <w:rPr/>
              <w:t>General Re percentage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99.8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99.8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10. Income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Total income taxes were allocated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4" w:name="z9067e332641443df9b9a877cd4006935"/>
      <w:bookmarkStart w:id="265" w:name="z9067e332641443df9b9a877cd4006935"/>
      <w:bookmarkEnd w:id="265"/>
    </w:p>
    <w:tbl>
      <w:tblPr>
        <w:tblW w:w="10205" w:type="dxa"/>
        <w:jc w:val="left"/>
        <w:tblInd w:w="0" w:type="dxa"/>
        <w:tblLayout w:type="fixed"/>
        <w:tblCellMar>
          <w:top w:w="0" w:type="dxa"/>
          <w:left w:w="0" w:type="dxa"/>
          <w:bottom w:w="0" w:type="dxa"/>
          <w:right w:w="0" w:type="dxa"/>
        </w:tblCellMar>
      </w:tblPr>
      <w:tblGrid>
        <w:gridCol w:w="7602"/>
        <w:gridCol w:w="90"/>
        <w:gridCol w:w="229"/>
        <w:gridCol w:w="796"/>
        <w:gridCol w:w="168"/>
        <w:gridCol w:w="121"/>
        <w:gridCol w:w="229"/>
        <w:gridCol w:w="796"/>
        <w:gridCol w:w="174"/>
      </w:tblGrid>
      <w:tr>
        <w:trPr/>
        <w:tc>
          <w:tcPr>
            <w:tcW w:w="7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9"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4" w:type="dxa"/>
            <w:tcBorders/>
            <w:vAlign w:val="bottom"/>
          </w:tcPr>
          <w:p>
            <w:pPr>
              <w:pStyle w:val="TableContents"/>
              <w:bidi w:val="0"/>
              <w:spacing w:before="0" w:after="283"/>
              <w:jc w:val="left"/>
              <w:rPr/>
            </w:pPr>
            <w:r>
              <w:rPr/>
              <w:t> </w:t>
            </w:r>
          </w:p>
        </w:tc>
      </w:tr>
      <w:tr>
        <w:trPr/>
        <w:tc>
          <w:tcPr>
            <w:tcW w:w="7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6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4" w:type="dxa"/>
            <w:tcBorders/>
            <w:vAlign w:val="bottom"/>
          </w:tcPr>
          <w:p>
            <w:pPr>
              <w:pStyle w:val="TableContents"/>
              <w:bidi w:val="0"/>
              <w:spacing w:before="0" w:after="283"/>
              <w:jc w:val="left"/>
              <w:rPr/>
            </w:pPr>
            <w:r>
              <w:rPr/>
              <w:t> </w:t>
            </w:r>
          </w:p>
        </w:tc>
      </w:tr>
      <w:tr>
        <w:trPr/>
        <w:tc>
          <w:tcPr>
            <w:tcW w:w="7602" w:type="dxa"/>
            <w:tcBorders/>
            <w:shd w:fill="CCEEFF" w:val="clear"/>
            <w:vAlign w:val="bottom"/>
          </w:tcPr>
          <w:p>
            <w:pPr>
              <w:pStyle w:val="TableContents"/>
              <w:bidi w:val="0"/>
              <w:spacing w:before="0" w:after="0"/>
              <w:jc w:val="left"/>
              <w:rPr/>
            </w:pPr>
            <w:r>
              <w:rPr/>
              <w:t>Total tax expense (benefit) on income</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pPr>
            <w:r>
              <w:rPr/>
              <w:t>$</w:t>
            </w:r>
          </w:p>
        </w:tc>
        <w:tc>
          <w:tcPr>
            <w:tcW w:w="796" w:type="dxa"/>
            <w:tcBorders/>
            <w:shd w:fill="CCEEFF" w:val="clear"/>
            <w:vAlign w:val="bottom"/>
          </w:tcPr>
          <w:p>
            <w:pPr>
              <w:pStyle w:val="TableContents"/>
              <w:bidi w:val="0"/>
              <w:spacing w:before="0" w:after="0"/>
              <w:jc w:val="right"/>
              <w:rPr/>
            </w:pPr>
            <w:r>
              <w:rPr/>
              <w:t>1,704</w:t>
            </w:r>
          </w:p>
        </w:tc>
        <w:tc>
          <w:tcPr>
            <w:tcW w:w="16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pPr>
            <w:r>
              <w:rPr/>
              <w:t>$</w:t>
            </w:r>
          </w:p>
        </w:tc>
        <w:tc>
          <w:tcPr>
            <w:tcW w:w="796" w:type="dxa"/>
            <w:tcBorders/>
            <w:shd w:fill="CCEEFF" w:val="clear"/>
            <w:vAlign w:val="bottom"/>
          </w:tcPr>
          <w:p>
            <w:pPr>
              <w:pStyle w:val="TableContents"/>
              <w:bidi w:val="0"/>
              <w:spacing w:before="0" w:after="0"/>
              <w:jc w:val="right"/>
              <w:rPr/>
            </w:pPr>
            <w:r>
              <w:rPr/>
              <w:t>(232</w:t>
            </w:r>
          </w:p>
        </w:tc>
        <w:tc>
          <w:tcPr>
            <w:tcW w:w="174" w:type="dxa"/>
            <w:tcBorders/>
            <w:shd w:fill="CCEEFF" w:val="clear"/>
            <w:vAlign w:val="bottom"/>
          </w:tcPr>
          <w:p>
            <w:pPr>
              <w:pStyle w:val="TableContents"/>
              <w:bidi w:val="0"/>
              <w:spacing w:before="0" w:after="0"/>
              <w:jc w:val="left"/>
              <w:rPr/>
            </w:pPr>
            <w:r>
              <w:rPr/>
              <w:t>)</w:t>
            </w:r>
          </w:p>
        </w:tc>
      </w:tr>
      <w:tr>
        <w:trPr/>
        <w:tc>
          <w:tcPr>
            <w:tcW w:w="7602" w:type="dxa"/>
            <w:tcBorders/>
            <w:vAlign w:val="bottom"/>
          </w:tcPr>
          <w:p>
            <w:pPr>
              <w:pStyle w:val="TableContents"/>
              <w:bidi w:val="0"/>
              <w:spacing w:before="0" w:after="0"/>
              <w:jc w:val="left"/>
              <w:rPr/>
            </w:pPr>
            <w:r>
              <w:rPr/>
              <w:t>Tax expense (benefit) on components of shareholders’ equity:</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7602" w:type="dxa"/>
            <w:tcBorders/>
            <w:shd w:fill="CCEEFF" w:val="clear"/>
            <w:vAlign w:val="bottom"/>
          </w:tcPr>
          <w:p>
            <w:pPr>
              <w:pStyle w:val="TableContents"/>
              <w:bidi w:val="0"/>
              <w:spacing w:before="0" w:after="0"/>
              <w:ind w:left="180" w:right="0" w:hanging="0"/>
              <w:jc w:val="left"/>
              <w:rPr/>
            </w:pPr>
            <w:r>
              <w:rPr/>
              <w:t>Unrealized gains and losses on available-for-sale fixed maturity securities, including reclassification adjustments</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pPr>
            <w:r>
              <w:rPr/>
              <w:t>1,590</w:t>
            </w:r>
          </w:p>
        </w:tc>
        <w:tc>
          <w:tcPr>
            <w:tcW w:w="16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pPr>
            <w:r>
              <w:rPr/>
              <w:t>(689</w:t>
            </w:r>
          </w:p>
        </w:tc>
        <w:tc>
          <w:tcPr>
            <w:tcW w:w="174" w:type="dxa"/>
            <w:tcBorders/>
            <w:shd w:fill="CCEEFF" w:val="clear"/>
            <w:vAlign w:val="bottom"/>
          </w:tcPr>
          <w:p>
            <w:pPr>
              <w:pStyle w:val="TableContents"/>
              <w:bidi w:val="0"/>
              <w:spacing w:before="0" w:after="0"/>
              <w:jc w:val="left"/>
              <w:rPr/>
            </w:pPr>
            <w:r>
              <w:rPr/>
              <w:t>)</w:t>
            </w:r>
          </w:p>
        </w:tc>
      </w:tr>
      <w:tr>
        <w:trPr/>
        <w:tc>
          <w:tcPr>
            <w:tcW w:w="7602" w:type="dxa"/>
            <w:tcBorders/>
            <w:vAlign w:val="bottom"/>
          </w:tcPr>
          <w:p>
            <w:pPr>
              <w:pStyle w:val="TableContents"/>
              <w:bidi w:val="0"/>
              <w:spacing w:before="0" w:after="0"/>
              <w:ind w:left="180" w:right="0" w:hanging="0"/>
              <w:jc w:val="left"/>
              <w:rPr/>
            </w:pPr>
            <w:r>
              <w:rPr/>
              <w:t>LDTI future policy benefit discount-rate remeasurement, net of the related reinsurance-recoverable effect</w:t>
            </w:r>
          </w:p>
        </w:tc>
        <w:tc>
          <w:tcPr>
            <w:tcW w:w="90"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pPr>
            <w:r>
              <w:rPr/>
              <w:t>(259</w:t>
            </w:r>
          </w:p>
        </w:tc>
        <w:tc>
          <w:tcPr>
            <w:tcW w:w="168" w:type="dxa"/>
            <w:tcBorders/>
            <w:vAlign w:val="bottom"/>
          </w:tcPr>
          <w:p>
            <w:pPr>
              <w:pStyle w:val="TableContents"/>
              <w:bidi w:val="0"/>
              <w:spacing w:before="0" w:after="0"/>
              <w:jc w:val="left"/>
              <w:rPr/>
            </w:pPr>
            <w:r>
              <w:rPr/>
              <w:t>)</w:t>
            </w:r>
          </w:p>
        </w:tc>
        <w:tc>
          <w:tcPr>
            <w:tcW w:w="121"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pPr>
            <w:r>
              <w:rPr/>
              <w:t>1,843</w:t>
            </w:r>
          </w:p>
        </w:tc>
        <w:tc>
          <w:tcPr>
            <w:tcW w:w="174" w:type="dxa"/>
            <w:tcBorders/>
            <w:vAlign w:val="bottom"/>
          </w:tcPr>
          <w:p>
            <w:pPr>
              <w:pStyle w:val="TableContents"/>
              <w:bidi w:val="0"/>
              <w:spacing w:before="0" w:after="283"/>
              <w:jc w:val="left"/>
              <w:rPr/>
            </w:pPr>
            <w:r>
              <w:rPr/>
              <w:t> </w:t>
            </w:r>
          </w:p>
        </w:tc>
      </w:tr>
      <w:tr>
        <w:trPr/>
        <w:tc>
          <w:tcPr>
            <w:tcW w:w="7602" w:type="dxa"/>
            <w:tcBorders/>
            <w:shd w:fill="CCEEFF" w:val="clear"/>
            <w:vAlign w:val="bottom"/>
          </w:tcPr>
          <w:p>
            <w:pPr>
              <w:pStyle w:val="TableContents"/>
              <w:bidi w:val="0"/>
              <w:spacing w:before="0" w:after="0"/>
              <w:ind w:left="360" w:right="0" w:hanging="0"/>
              <w:jc w:val="left"/>
              <w:rPr/>
            </w:pPr>
            <w:r>
              <w:rPr/>
              <w:t>Total tax expense on components of shareholders’ equity</w:t>
            </w:r>
          </w:p>
        </w:tc>
        <w:tc>
          <w:tcPr>
            <w:tcW w:w="90"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pPr>
            <w:r>
              <w:rPr/>
              <w:t>1,331</w:t>
            </w:r>
          </w:p>
        </w:tc>
        <w:tc>
          <w:tcPr>
            <w:tcW w:w="16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pPr>
            <w:r>
              <w:rPr/>
              <w:t>1,154</w:t>
            </w:r>
          </w:p>
        </w:tc>
        <w:tc>
          <w:tcPr>
            <w:tcW w:w="174" w:type="dxa"/>
            <w:tcBorders/>
            <w:shd w:fill="CCEEFF" w:val="clear"/>
            <w:vAlign w:val="bottom"/>
          </w:tcPr>
          <w:p>
            <w:pPr>
              <w:pStyle w:val="TableContents"/>
              <w:bidi w:val="0"/>
              <w:spacing w:before="0" w:after="283"/>
              <w:jc w:val="left"/>
              <w:rPr/>
            </w:pPr>
            <w:r>
              <w:rPr/>
              <w:t> </w:t>
            </w:r>
          </w:p>
        </w:tc>
      </w:tr>
      <w:tr>
        <w:trPr/>
        <w:tc>
          <w:tcPr>
            <w:tcW w:w="7602" w:type="dxa"/>
            <w:tcBorders/>
            <w:vAlign w:val="bottom"/>
          </w:tcPr>
          <w:p>
            <w:pPr>
              <w:pStyle w:val="TableContents"/>
              <w:bidi w:val="0"/>
              <w:spacing w:before="0" w:after="0"/>
              <w:ind w:left="540" w:right="0" w:hanging="0"/>
              <w:jc w:val="left"/>
              <w:rPr/>
            </w:pPr>
            <w:r>
              <w:rPr/>
              <w:t>Total tax expense</w:t>
            </w:r>
          </w:p>
        </w:tc>
        <w:tc>
          <w:tcPr>
            <w:tcW w:w="90"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pPr>
            <w:r>
              <w:rPr/>
              <w:t>$</w:t>
            </w:r>
          </w:p>
        </w:tc>
        <w:tc>
          <w:tcPr>
            <w:tcW w:w="796" w:type="dxa"/>
            <w:tcBorders>
              <w:bottom w:val="double" w:sz="8" w:space="0" w:color="000000"/>
            </w:tcBorders>
            <w:tcMar>
              <w:bottom w:w="28" w:type="dxa"/>
            </w:tcMar>
            <w:vAlign w:val="bottom"/>
          </w:tcPr>
          <w:p>
            <w:pPr>
              <w:pStyle w:val="TableContents"/>
              <w:bidi w:val="0"/>
              <w:spacing w:before="0" w:after="0"/>
              <w:jc w:val="right"/>
              <w:rPr/>
            </w:pPr>
            <w:r>
              <w:rPr/>
              <w:t>3,035</w:t>
            </w:r>
          </w:p>
        </w:tc>
        <w:tc>
          <w:tcPr>
            <w:tcW w:w="16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pPr>
            <w:r>
              <w:rPr/>
              <w:t>$</w:t>
            </w:r>
          </w:p>
        </w:tc>
        <w:tc>
          <w:tcPr>
            <w:tcW w:w="796" w:type="dxa"/>
            <w:tcBorders>
              <w:bottom w:val="double" w:sz="8" w:space="0" w:color="000000"/>
            </w:tcBorders>
            <w:tcMar>
              <w:bottom w:w="28" w:type="dxa"/>
            </w:tcMar>
            <w:vAlign w:val="bottom"/>
          </w:tcPr>
          <w:p>
            <w:pPr>
              <w:pStyle w:val="TableContents"/>
              <w:bidi w:val="0"/>
              <w:spacing w:before="0" w:after="0"/>
              <w:jc w:val="right"/>
              <w:rPr/>
            </w:pPr>
            <w:r>
              <w:rPr/>
              <w:t>922</w:t>
            </w:r>
          </w:p>
        </w:tc>
        <w:tc>
          <w:tcPr>
            <w:tcW w:w="17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A reconciliation of the differences between income taxes computed at the federal statutory income tax rate and the income tax benefit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6" w:name="z459fada3f7e9478a9101b03038964e64"/>
      <w:bookmarkStart w:id="267" w:name="z459fada3f7e9478a9101b03038964e64"/>
      <w:bookmarkEnd w:id="267"/>
    </w:p>
    <w:tbl>
      <w:tblPr>
        <w:tblW w:w="8472" w:type="dxa"/>
        <w:jc w:val="left"/>
        <w:tblInd w:w="0" w:type="dxa"/>
        <w:tblLayout w:type="fixed"/>
        <w:tblCellMar>
          <w:top w:w="0" w:type="dxa"/>
          <w:left w:w="0" w:type="dxa"/>
          <w:bottom w:w="0" w:type="dxa"/>
          <w:right w:w="0" w:type="dxa"/>
        </w:tblCellMar>
      </w:tblPr>
      <w:tblGrid>
        <w:gridCol w:w="5405"/>
        <w:gridCol w:w="90"/>
        <w:gridCol w:w="261"/>
        <w:gridCol w:w="906"/>
        <w:gridCol w:w="376"/>
        <w:gridCol w:w="138"/>
        <w:gridCol w:w="261"/>
        <w:gridCol w:w="745"/>
        <w:gridCol w:w="290"/>
      </w:tblGrid>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8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90" w:type="dxa"/>
            <w:tcBorders/>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jc w:val="left"/>
              <w:rPr/>
            </w:pPr>
            <w:r>
              <w:rPr/>
              <w:t>Federal income tax provision at the statutory rate</w:t>
            </w:r>
          </w:p>
        </w:tc>
        <w:tc>
          <w:tcPr>
            <w:tcW w:w="90"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6" w:type="dxa"/>
            <w:tcBorders>
              <w:bottom w:val="single" w:sz="12" w:space="0" w:color="000000"/>
            </w:tcBorders>
            <w:shd w:fill="CCEEFF" w:val="clear"/>
            <w:tcMar>
              <w:bottom w:w="28" w:type="dxa"/>
            </w:tcMar>
            <w:vAlign w:val="bottom"/>
          </w:tcPr>
          <w:p>
            <w:pPr>
              <w:pStyle w:val="TableContents"/>
              <w:bidi w:val="0"/>
              <w:spacing w:before="0" w:after="0"/>
              <w:jc w:val="right"/>
              <w:rPr/>
            </w:pPr>
            <w:r>
              <w:rPr/>
              <w:t>1,621</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45" w:type="dxa"/>
            <w:tcBorders>
              <w:bottom w:val="single" w:sz="12" w:space="0" w:color="000000"/>
            </w:tcBorders>
            <w:shd w:fill="CCEEFF" w:val="clear"/>
            <w:tcMar>
              <w:bottom w:w="28" w:type="dxa"/>
            </w:tcMar>
            <w:vAlign w:val="bottom"/>
          </w:tcPr>
          <w:p>
            <w:pPr>
              <w:pStyle w:val="TableContents"/>
              <w:bidi w:val="0"/>
              <w:spacing w:before="0" w:after="0"/>
              <w:jc w:val="right"/>
              <w:rPr/>
            </w:pPr>
            <w:r>
              <w:rPr/>
              <w:t>(342</w:t>
            </w:r>
          </w:p>
        </w:tc>
        <w:tc>
          <w:tcPr>
            <w:tcW w:w="290" w:type="dxa"/>
            <w:tcBorders/>
            <w:shd w:fill="CCEEFF" w:val="clear"/>
            <w:vAlign w:val="bottom"/>
          </w:tcPr>
          <w:p>
            <w:pPr>
              <w:pStyle w:val="TableContents"/>
              <w:bidi w:val="0"/>
              <w:spacing w:before="0" w:after="0"/>
              <w:jc w:val="left"/>
              <w:rPr/>
            </w:pPr>
            <w:r>
              <w:rPr/>
              <w:t>)</w:t>
            </w:r>
          </w:p>
        </w:tc>
      </w:tr>
      <w:tr>
        <w:trPr/>
        <w:tc>
          <w:tcPr>
            <w:tcW w:w="5405" w:type="dxa"/>
            <w:tcBorders/>
            <w:vAlign w:val="bottom"/>
          </w:tcPr>
          <w:p>
            <w:pPr>
              <w:pStyle w:val="TableContents"/>
              <w:bidi w:val="0"/>
              <w:spacing w:before="0" w:after="0"/>
              <w:jc w:val="left"/>
              <w:rPr/>
            </w:pPr>
            <w:r>
              <w:rPr/>
              <w:t>Statutory rate</w:t>
            </w:r>
          </w:p>
        </w:tc>
        <w:tc>
          <w:tcPr>
            <w:tcW w:w="90"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906" w:type="dxa"/>
            <w:tcBorders>
              <w:bottom w:val="double" w:sz="8" w:space="0" w:color="000000"/>
            </w:tcBorders>
            <w:tcMar>
              <w:bottom w:w="28" w:type="dxa"/>
            </w:tcMar>
            <w:vAlign w:val="bottom"/>
          </w:tcPr>
          <w:p>
            <w:pPr>
              <w:pStyle w:val="TableContents"/>
              <w:bidi w:val="0"/>
              <w:spacing w:before="0" w:after="0"/>
              <w:jc w:val="right"/>
              <w:rPr/>
            </w:pPr>
            <w:r>
              <w:rPr/>
              <w:t>21</w:t>
            </w:r>
          </w:p>
        </w:tc>
        <w:tc>
          <w:tcPr>
            <w:tcW w:w="376" w:type="dxa"/>
            <w:tcBorders/>
            <w:vAlign w:val="bottom"/>
          </w:tcPr>
          <w:p>
            <w:pPr>
              <w:pStyle w:val="TableContents"/>
              <w:bidi w:val="0"/>
              <w:spacing w:before="0" w:after="0"/>
              <w:jc w:val="left"/>
              <w:rPr/>
            </w:pPr>
            <w:r>
              <w:rPr/>
              <w:t>%</w:t>
            </w:r>
          </w:p>
        </w:tc>
        <w:tc>
          <w:tcPr>
            <w:tcW w:w="138"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tcMar>
              <w:bottom w:w="28" w:type="dxa"/>
            </w:tcMar>
            <w:vAlign w:val="bottom"/>
          </w:tcPr>
          <w:p>
            <w:pPr>
              <w:pStyle w:val="TableContents"/>
              <w:bidi w:val="0"/>
              <w:spacing w:before="0" w:after="0"/>
              <w:jc w:val="right"/>
              <w:rPr/>
            </w:pPr>
            <w:r>
              <w:rPr/>
              <w:t>21</w:t>
            </w:r>
          </w:p>
        </w:tc>
        <w:tc>
          <w:tcPr>
            <w:tcW w:w="290" w:type="dxa"/>
            <w:tcBorders/>
            <w:vAlign w:val="bottom"/>
          </w:tcPr>
          <w:p>
            <w:pPr>
              <w:pStyle w:val="TableContents"/>
              <w:bidi w:val="0"/>
              <w:spacing w:before="0" w:after="0"/>
              <w:jc w:val="left"/>
              <w:rPr/>
            </w:pPr>
            <w:r>
              <w:rPr/>
              <w:t>%</w:t>
            </w:r>
          </w:p>
        </w:tc>
      </w:tr>
      <w:tr>
        <w:trPr/>
        <w:tc>
          <w:tcPr>
            <w:tcW w:w="54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jc w:val="left"/>
              <w:rPr/>
            </w:pPr>
            <w:r>
              <w:rPr/>
              <w:t>Dividends-received deduction</w:t>
            </w:r>
          </w:p>
        </w:tc>
        <w:tc>
          <w:tcPr>
            <w:tcW w:w="9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pPr>
            <w:r>
              <w:rPr/>
              <w:t>(25</w:t>
            </w:r>
          </w:p>
        </w:tc>
        <w:tc>
          <w:tcPr>
            <w:tcW w:w="376" w:type="dxa"/>
            <w:tcBorders/>
            <w:vAlign w:val="bottom"/>
          </w:tcPr>
          <w:p>
            <w:pPr>
              <w:pStyle w:val="TableContents"/>
              <w:bidi w:val="0"/>
              <w:spacing w:before="0" w:after="0"/>
              <w:jc w:val="left"/>
              <w:rPr/>
            </w:pPr>
            <w:r>
              <w:rPr/>
              <w:t>)</w:t>
            </w:r>
          </w:p>
        </w:tc>
        <w:tc>
          <w:tcPr>
            <w:tcW w:w="1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(25</w:t>
            </w:r>
          </w:p>
        </w:tc>
        <w:tc>
          <w:tcPr>
            <w:tcW w:w="290" w:type="dxa"/>
            <w:tcBorders/>
            <w:vAlign w:val="bottom"/>
          </w:tcPr>
          <w:p>
            <w:pPr>
              <w:pStyle w:val="TableContents"/>
              <w:bidi w:val="0"/>
              <w:spacing w:before="0" w:after="0"/>
              <w:jc w:val="left"/>
              <w:rPr/>
            </w:pPr>
            <w:r>
              <w:rPr/>
              <w:t>)</w:t>
            </w:r>
          </w:p>
        </w:tc>
      </w:tr>
      <w:tr>
        <w:trPr/>
        <w:tc>
          <w:tcPr>
            <w:tcW w:w="5405" w:type="dxa"/>
            <w:tcBorders/>
            <w:shd w:fill="CCEEFF" w:val="clear"/>
            <w:vAlign w:val="bottom"/>
          </w:tcPr>
          <w:p>
            <w:pPr>
              <w:pStyle w:val="TableContents"/>
              <w:bidi w:val="0"/>
              <w:spacing w:before="0" w:after="0"/>
              <w:jc w:val="left"/>
              <w:rPr/>
            </w:pPr>
            <w:r>
              <w:rPr/>
              <w:t>Meals and entertainment</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pPr>
            <w:r>
              <w:rPr/>
              <w:t>70</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77</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jc w:val="left"/>
              <w:rPr/>
            </w:pPr>
            <w:r>
              <w:rPr/>
              <w:t>Vested stock and club dues</w:t>
            </w:r>
          </w:p>
        </w:tc>
        <w:tc>
          <w:tcPr>
            <w:tcW w:w="9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pPr>
            <w:r>
              <w:rPr/>
              <w:t>10</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3</w:t>
            </w:r>
          </w:p>
        </w:tc>
        <w:tc>
          <w:tcPr>
            <w:tcW w:w="29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jc w:val="left"/>
              <w:rPr/>
            </w:pPr>
            <w:r>
              <w:rPr/>
              <w:t>Parking disallowance</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pPr>
            <w:r>
              <w:rPr/>
              <w:t>25</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20</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jc w:val="left"/>
              <w:rPr/>
            </w:pPr>
            <w:r>
              <w:rPr/>
              <w:t>Adjustment for prior years’ estimates to actual</w:t>
            </w:r>
          </w:p>
        </w:tc>
        <w:tc>
          <w:tcPr>
            <w:tcW w:w="90" w:type="dxa"/>
            <w:tcBorders/>
            <w:vAlign w:val="bottom"/>
          </w:tcPr>
          <w:p>
            <w:pPr>
              <w:pStyle w:val="TableContents"/>
              <w:bidi w:val="0"/>
              <w:spacing w:before="0" w:after="283"/>
              <w:jc w:val="left"/>
              <w:rPr/>
            </w:pPr>
            <w:r>
              <w:rPr/>
              <w:t> </w:t>
            </w:r>
          </w:p>
        </w:tc>
        <w:tc>
          <w:tcPr>
            <w:tcW w:w="2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tcMar>
              <w:bottom w:w="28" w:type="dxa"/>
            </w:tcMar>
            <w:vAlign w:val="bottom"/>
          </w:tcPr>
          <w:p>
            <w:pPr>
              <w:pStyle w:val="TableContents"/>
              <w:bidi w:val="0"/>
              <w:spacing w:before="0" w:after="0"/>
              <w:jc w:val="right"/>
              <w:rPr/>
            </w:pPr>
            <w:r>
              <w:rPr/>
              <w:t>3</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0"/>
              <w:jc w:val="right"/>
              <w:rPr/>
            </w:pPr>
            <w:r>
              <w:rPr/>
              <w:t>35</w:t>
            </w:r>
          </w:p>
        </w:tc>
        <w:tc>
          <w:tcPr>
            <w:tcW w:w="29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180" w:right="0" w:hanging="0"/>
              <w:jc w:val="left"/>
              <w:rPr/>
            </w:pPr>
            <w:r>
              <w:rPr/>
              <w:t>Income tax expense (benefit)</w:t>
            </w:r>
          </w:p>
        </w:tc>
        <w:tc>
          <w:tcPr>
            <w:tcW w:w="90" w:type="dxa"/>
            <w:tcBorders/>
            <w:shd w:fill="CCEEFF" w:val="clear"/>
            <w:vAlign w:val="bottom"/>
          </w:tcPr>
          <w:p>
            <w:pPr>
              <w:pStyle w:val="TableContents"/>
              <w:bidi w:val="0"/>
              <w:spacing w:before="0" w:after="283"/>
              <w:jc w:val="lef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6" w:type="dxa"/>
            <w:tcBorders>
              <w:bottom w:val="double" w:sz="8" w:space="0" w:color="000000"/>
            </w:tcBorders>
            <w:shd w:fill="CCEEFF" w:val="clear"/>
            <w:tcMar>
              <w:bottom w:w="28" w:type="dxa"/>
            </w:tcMar>
            <w:vAlign w:val="bottom"/>
          </w:tcPr>
          <w:p>
            <w:pPr>
              <w:pStyle w:val="TableContents"/>
              <w:bidi w:val="0"/>
              <w:spacing w:before="0" w:after="0"/>
              <w:jc w:val="right"/>
              <w:rPr/>
            </w:pPr>
            <w:r>
              <w:rPr/>
              <w:t>1,704</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45" w:type="dxa"/>
            <w:tcBorders>
              <w:bottom w:val="double" w:sz="8" w:space="0" w:color="000000"/>
            </w:tcBorders>
            <w:shd w:fill="CCEEFF" w:val="clear"/>
            <w:tcMar>
              <w:bottom w:w="28" w:type="dxa"/>
            </w:tcMar>
            <w:vAlign w:val="bottom"/>
          </w:tcPr>
          <w:p>
            <w:pPr>
              <w:pStyle w:val="TableContents"/>
              <w:bidi w:val="0"/>
              <w:spacing w:before="0" w:after="0"/>
              <w:jc w:val="right"/>
              <w:rPr/>
            </w:pPr>
            <w:r>
              <w:rPr/>
              <w:t>(232</w:t>
            </w:r>
          </w:p>
        </w:tc>
        <w:tc>
          <w:tcPr>
            <w:tcW w:w="290" w:type="dxa"/>
            <w:tcBorders/>
            <w:shd w:fill="CCEEFF" w:val="clear"/>
            <w:vAlign w:val="bottom"/>
          </w:tcPr>
          <w:p>
            <w:pPr>
              <w:pStyle w:val="TableContents"/>
              <w:bidi w:val="0"/>
              <w:spacing w:before="0" w:after="0"/>
              <w:jc w:val="left"/>
              <w:rPr/>
            </w:pPr>
            <w:r>
              <w:rPr/>
              <w:t>)</w:t>
            </w:r>
          </w:p>
        </w:tc>
      </w:tr>
      <w:tr>
        <w:trPr/>
        <w:tc>
          <w:tcPr>
            <w:tcW w:w="5405" w:type="dxa"/>
            <w:tcBorders/>
            <w:vAlign w:val="bottom"/>
          </w:tcPr>
          <w:p>
            <w:pPr>
              <w:pStyle w:val="TableContents"/>
              <w:bidi w:val="0"/>
              <w:spacing w:before="0" w:after="0"/>
              <w:jc w:val="left"/>
              <w:rPr/>
            </w:pPr>
            <w:r>
              <w:rPr/>
              <w:t>Effective tax rate</w:t>
            </w:r>
          </w:p>
        </w:tc>
        <w:tc>
          <w:tcPr>
            <w:tcW w:w="90"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906" w:type="dxa"/>
            <w:tcBorders>
              <w:bottom w:val="double" w:sz="8" w:space="0" w:color="000000"/>
            </w:tcBorders>
            <w:tcMar>
              <w:bottom w:w="28" w:type="dxa"/>
            </w:tcMar>
            <w:vAlign w:val="bottom"/>
          </w:tcPr>
          <w:p>
            <w:pPr>
              <w:pStyle w:val="TableContents"/>
              <w:bidi w:val="0"/>
              <w:spacing w:before="0" w:after="0"/>
              <w:jc w:val="right"/>
              <w:rPr/>
            </w:pPr>
            <w:r>
              <w:rPr/>
              <w:t>22.1</w:t>
            </w:r>
          </w:p>
        </w:tc>
        <w:tc>
          <w:tcPr>
            <w:tcW w:w="376" w:type="dxa"/>
            <w:tcBorders/>
            <w:vAlign w:val="bottom"/>
          </w:tcPr>
          <w:p>
            <w:pPr>
              <w:pStyle w:val="TableContents"/>
              <w:bidi w:val="0"/>
              <w:spacing w:before="0" w:after="0"/>
              <w:jc w:val="left"/>
              <w:rPr/>
            </w:pPr>
            <w:r>
              <w:rPr/>
              <w:t>%</w:t>
            </w:r>
          </w:p>
        </w:tc>
        <w:tc>
          <w:tcPr>
            <w:tcW w:w="138"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tcMar>
              <w:bottom w:w="28" w:type="dxa"/>
            </w:tcMar>
            <w:vAlign w:val="bottom"/>
          </w:tcPr>
          <w:p>
            <w:pPr>
              <w:pStyle w:val="TableContents"/>
              <w:bidi w:val="0"/>
              <w:spacing w:before="0" w:after="0"/>
              <w:jc w:val="right"/>
              <w:rPr/>
            </w:pPr>
            <w:r>
              <w:rPr/>
              <w:t>14.3</w:t>
            </w:r>
          </w:p>
        </w:tc>
        <w:tc>
          <w:tcPr>
            <w:tcW w:w="290" w:type="dxa"/>
            <w:tcBorders/>
            <w:vAlign w:val="bottom"/>
          </w:tcPr>
          <w:p>
            <w:pPr>
              <w:pStyle w:val="TableContents"/>
              <w:bidi w:val="0"/>
              <w:spacing w:before="0" w:after="0"/>
              <w:jc w:val="left"/>
              <w:rPr/>
            </w:pPr>
            <w:r>
              <w:rPr/>
              <w:t>%</w:t>
            </w:r>
          </w:p>
        </w:tc>
      </w:tr>
      <w:tr>
        <w:trPr/>
        <w:tc>
          <w:tcPr>
            <w:tcW w:w="54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lineRule="auto" w:line="240" w:before="0" w:after="283"/>
              <w:jc w:val="left"/>
              <w:rPr/>
            </w:pPr>
            <w:r>
              <w:rPr/>
              <w:t>State income taxes, net of federal income tax effect(1)(2)</w:t>
            </w:r>
          </w:p>
        </w:tc>
        <w:tc>
          <w:tcPr>
            <w:tcW w:w="9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187</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213</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240" w:before="0" w:after="0"/>
        <w:jc w:val="left"/>
        <w:rPr>
          <w:rFonts w:ascii="Times New Roman" w:hAnsi="Times New Roman"/>
          <w:sz w:val="20"/>
        </w:rPr>
      </w:pPr>
      <w:r>
        <w:rPr>
          <w:rFonts w:ascii="Times New Roman" w:hAnsi="Times New Roman"/>
          <w:sz w:val="20"/>
        </w:rPr>
        <w:t>(1) State income taxes were paid to various states and are included in general and administrative expenses in the Consolidated Statement of Operations.</w:t>
      </w:r>
    </w:p>
    <w:p>
      <w:pPr>
        <w:pStyle w:val="TextBody"/>
        <w:bidi w:val="0"/>
        <w:spacing w:lineRule="auto" w:line="240" w:before="0" w:after="0"/>
        <w:jc w:val="left"/>
        <w:rPr>
          <w:rFonts w:ascii="Times New Roman" w:hAnsi="Times New Roman"/>
          <w:sz w:val="20"/>
        </w:rPr>
      </w:pPr>
      <w:r>
        <w:rPr>
          <w:rFonts w:ascii="Times New Roman" w:hAnsi="Times New Roman"/>
          <w:sz w:val="20"/>
        </w:rPr>
        <w:t>(2) State taxes in Florida made up the majority of the tax effect in this category.</w:t>
      </w:r>
    </w:p>
    <w:p>
      <w:pPr>
        <w:pStyle w:val="TextBody"/>
        <w:bidi w:val="0"/>
        <w:spacing w:before="0" w:after="0"/>
        <w:jc w:val="left"/>
        <w:rPr/>
      </w:pPr>
      <w:r>
        <w:rPr/>
        <w:t> </w:t>
      </w:r>
    </w:p>
    <w:p>
      <w:pPr>
        <w:pStyle w:val="TextBody"/>
        <w:bidi w:val="0"/>
        <w:spacing w:before="0" w:after="0"/>
        <w:jc w:val="left"/>
        <w:rPr/>
      </w:pPr>
      <w:r>
        <w:rPr>
          <w:spacing w:val="0"/>
        </w:rPr>
        <w:t>        </w:t>
      </w:r>
      <w:r>
        <w:rPr>
          <w:rFonts w:ascii="Times New Roman" w:hAnsi="Times New Roman"/>
          <w:spacing w:val="0"/>
          <w:sz w:val="20"/>
        </w:rPr>
        <w:t xml:space="preserve">The Company has adopted ASU 2023-09 – </w:t>
      </w:r>
      <w:r>
        <w:rPr>
          <w:rFonts w:ascii="Times New Roman" w:hAnsi="Times New Roman"/>
          <w:i/>
          <w:spacing w:val="0"/>
          <w:sz w:val="20"/>
        </w:rPr>
        <w:t>Improvements to Income Tax Disclosures</w:t>
      </w:r>
      <w:r>
        <w:rPr>
          <w:rFonts w:ascii="Times New Roman" w:hAnsi="Times New Roman"/>
          <w:spacing w:val="0"/>
          <w:sz w:val="20"/>
        </w:rPr>
        <w:t xml:space="preserve"> which requires the Company to disaggregate state income tax expense, net of the federal income tax effect.</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primary difference between the effective tax rate and the federal statutory income tax rate for 2025 resulted from a permanent difference related to meals and entertainment. Another contributing factor to the differences between the effective tax rate and the federal statutory income tax rate was a permanent difference related to dividends-received deduction (“DRD”). The current estimated DRD is adjusted as underlying factors change and can vary from estimates based on, but not limited to, actual distributions from investments as well as the amount of the Company’s taxable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primary difference between the effective tax rate and the federal statutory income tax rate for 2024 resulted from a permanent difference related to meals and entertainment. Also contributing to differences between the effective tax rate and the federal statutory income tax rate was the adjustment for prior years’ estimates to actual that are generally updated at the completion of the third quarter of each fiscal year and were $35 in the year ended December 31, 2024. Another contributing factor to the differences between the effective tax rate and the federal statutory income tax rate was a permanent difference related to the DRD. The current estimated DRD is adjusted as underlying factors change and can vary from estimates based on, but not limited to, actual distributions from investments as well as the amount of the Company’s taxable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Deferred tax assets and liabilities at December 31, 2025 and 2024 were comprised of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8" w:name="z7881a27efe064bea80511594c93e1039"/>
      <w:bookmarkStart w:id="269" w:name="z7881a27efe064bea80511594c93e1039"/>
      <w:bookmarkEnd w:id="269"/>
    </w:p>
    <w:tbl>
      <w:tblPr>
        <w:tblW w:w="5675" w:type="dxa"/>
        <w:jc w:val="left"/>
        <w:tblInd w:w="0" w:type="dxa"/>
        <w:tblLayout w:type="fixed"/>
        <w:tblCellMar>
          <w:top w:w="0" w:type="dxa"/>
          <w:left w:w="0" w:type="dxa"/>
          <w:bottom w:w="0" w:type="dxa"/>
          <w:right w:w="0" w:type="dxa"/>
        </w:tblCellMar>
      </w:tblPr>
      <w:tblGrid>
        <w:gridCol w:w="3440"/>
        <w:gridCol w:w="90"/>
        <w:gridCol w:w="170"/>
        <w:gridCol w:w="710"/>
        <w:gridCol w:w="125"/>
        <w:gridCol w:w="90"/>
        <w:gridCol w:w="170"/>
        <w:gridCol w:w="710"/>
        <w:gridCol w:w="170"/>
      </w:tblGrid>
      <w:tr>
        <w:trPr/>
        <w:tc>
          <w:tcPr>
            <w:tcW w:w="34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jc w:val="left"/>
              <w:rPr/>
            </w:pPr>
            <w:r>
              <w:rPr/>
              <w:t>Deferred tax assets: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Deferred acquisition costs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11,098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10,264</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0"/>
              <w:jc w:val="left"/>
              <w:rPr/>
            </w:pPr>
            <w:r>
              <w:rPr/>
              <w:t>Net unrealized investment losses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1,815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3,303</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Impaired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791</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0"/>
              <w:jc w:val="left"/>
              <w:rPr/>
            </w:pPr>
            <w:r>
              <w:rPr/>
              <w:t>Bad debts and other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303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207</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Net operating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1,503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1,945</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0"/>
              <w:jc w:val="left"/>
              <w:rPr/>
            </w:pPr>
            <w:r>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1,324</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360" w:right="0" w:hanging="0"/>
              <w:jc w:val="left"/>
              <w:rPr/>
            </w:pPr>
            <w:r>
              <w:rPr/>
              <w:t>Total deferred tax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15,650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17,834</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jc w:val="left"/>
              <w:rPr/>
            </w:pPr>
            <w:r>
              <w:rPr/>
              <w:t>Deferred tax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Deferred and uncollected 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(348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(738</w:t>
            </w:r>
          </w:p>
        </w:tc>
        <w:tc>
          <w:tcPr>
            <w:tcW w:w="170" w:type="dxa"/>
            <w:tcBorders/>
            <w:shd w:fill="CCEEFF" w:val="clear"/>
            <w:vAlign w:val="bottom"/>
          </w:tcPr>
          <w:p>
            <w:pPr>
              <w:pStyle w:val="TableContents"/>
              <w:bidi w:val="0"/>
              <w:spacing w:before="0" w:after="0"/>
              <w:jc w:val="left"/>
              <w:rPr/>
            </w:pPr>
            <w:r>
              <w:rPr/>
              <w:t>)</w:t>
            </w:r>
          </w:p>
        </w:tc>
      </w:tr>
      <w:tr>
        <w:trPr/>
        <w:tc>
          <w:tcPr>
            <w:tcW w:w="3440" w:type="dxa"/>
            <w:tcBorders/>
            <w:vAlign w:val="bottom"/>
          </w:tcPr>
          <w:p>
            <w:pPr>
              <w:pStyle w:val="TableContents"/>
              <w:bidi w:val="0"/>
              <w:spacing w:before="0" w:after="0"/>
              <w:ind w:left="180" w:right="0" w:hanging="0"/>
              <w:jc w:val="left"/>
              <w:rPr/>
            </w:pPr>
            <w:r>
              <w:rPr/>
              <w:t>Insurance reserves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(258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(1,126</w:t>
            </w:r>
          </w:p>
        </w:tc>
        <w:tc>
          <w:tcPr>
            <w:tcW w:w="170" w:type="dxa"/>
            <w:tcBorders/>
            <w:vAlign w:val="bottom"/>
          </w:tcPr>
          <w:p>
            <w:pPr>
              <w:pStyle w:val="TableContents"/>
              <w:bidi w:val="0"/>
              <w:spacing w:before="0" w:after="0"/>
              <w:jc w:val="left"/>
              <w:rPr/>
            </w:pPr>
            <w:r>
              <w:rPr/>
              <w:t>)</w:t>
            </w:r>
          </w:p>
        </w:tc>
      </w:tr>
      <w:tr>
        <w:trPr/>
        <w:tc>
          <w:tcPr>
            <w:tcW w:w="3440" w:type="dxa"/>
            <w:tcBorders/>
            <w:shd w:fill="CCEEFF" w:val="clear"/>
            <w:vAlign w:val="bottom"/>
          </w:tcPr>
          <w:p>
            <w:pPr>
              <w:pStyle w:val="TableContents"/>
              <w:bidi w:val="0"/>
              <w:spacing w:before="0" w:after="0"/>
              <w:ind w:left="360" w:right="0" w:hanging="0"/>
              <w:jc w:val="left"/>
              <w:rPr/>
            </w:pPr>
            <w:r>
              <w:rPr/>
              <w:t>Total deferred tax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(606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(1,864</w:t>
            </w:r>
          </w:p>
        </w:tc>
        <w:tc>
          <w:tcPr>
            <w:tcW w:w="170" w:type="dxa"/>
            <w:tcBorders/>
            <w:shd w:fill="CCEEFF" w:val="clear"/>
            <w:vAlign w:val="bottom"/>
          </w:tcPr>
          <w:p>
            <w:pPr>
              <w:pStyle w:val="TableContents"/>
              <w:bidi w:val="0"/>
              <w:spacing w:before="0" w:after="0"/>
              <w:jc w:val="left"/>
              <w:rPr/>
            </w:pPr>
            <w:r>
              <w:rPr/>
              <w:t>)</w:t>
            </w:r>
          </w:p>
        </w:tc>
      </w:tr>
      <w:tr>
        <w:trPr/>
        <w:tc>
          <w:tcPr>
            <w:tcW w:w="3440" w:type="dxa"/>
            <w:tcBorders/>
            <w:vAlign w:val="bottom"/>
          </w:tcPr>
          <w:p>
            <w:pPr>
              <w:pStyle w:val="TableContents"/>
              <w:bidi w:val="0"/>
              <w:spacing w:before="0" w:after="0"/>
              <w:jc w:val="left"/>
              <w:rPr/>
            </w:pPr>
            <w:r>
              <w:rPr/>
              <w:t>Net deferred tax asset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15,044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15,970</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components of income tax expense (benefit) were: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0" w:name="z182b89957c38441d9046324416e58cae"/>
      <w:bookmarkStart w:id="271" w:name="z182b89957c38441d9046324416e58cae"/>
      <w:bookmarkEnd w:id="271"/>
    </w:p>
    <w:tbl>
      <w:tblPr>
        <w:tblW w:w="7121" w:type="dxa"/>
        <w:jc w:val="left"/>
        <w:tblInd w:w="0" w:type="dxa"/>
        <w:tblLayout w:type="fixed"/>
        <w:tblCellMar>
          <w:top w:w="0" w:type="dxa"/>
          <w:left w:w="0" w:type="dxa"/>
          <w:bottom w:w="0" w:type="dxa"/>
          <w:right w:w="0" w:type="dxa"/>
        </w:tblCellMar>
      </w:tblPr>
      <w:tblGrid>
        <w:gridCol w:w="4175"/>
        <w:gridCol w:w="90"/>
        <w:gridCol w:w="252"/>
        <w:gridCol w:w="876"/>
        <w:gridCol w:w="185"/>
        <w:gridCol w:w="133"/>
        <w:gridCol w:w="252"/>
        <w:gridCol w:w="988"/>
        <w:gridCol w:w="170"/>
      </w:tblGrid>
      <w:tr>
        <w:trPr/>
        <w:tc>
          <w:tcPr>
            <w:tcW w:w="4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86"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8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jc w:val="left"/>
              <w:rPr/>
            </w:pPr>
            <w:r>
              <w:rPr/>
              <w:t>Federal</w:t>
            </w:r>
          </w:p>
        </w:tc>
        <w:tc>
          <w:tcPr>
            <w:tcW w:w="9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jc w:val="left"/>
              <w:rPr/>
            </w:pPr>
            <w:r>
              <w:rPr/>
              <w:t>Current U.S. income tax expense</w:t>
            </w:r>
          </w:p>
        </w:tc>
        <w:tc>
          <w:tcPr>
            <w:tcW w:w="9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pPr>
            <w:r>
              <w:rPr/>
              <w:t>$</w:t>
            </w:r>
          </w:p>
        </w:tc>
        <w:tc>
          <w:tcPr>
            <w:tcW w:w="876" w:type="dxa"/>
            <w:tcBorders/>
            <w:shd w:fill="CCEEFF" w:val="clear"/>
            <w:vAlign w:val="bottom"/>
          </w:tcPr>
          <w:p>
            <w:pPr>
              <w:pStyle w:val="TableContents"/>
              <w:bidi w:val="0"/>
              <w:spacing w:before="0" w:after="283"/>
              <w:jc w:val="right"/>
              <w:rPr/>
            </w:pPr>
            <w:r>
              <w:rPr/>
              <w:t>2,109</w:t>
            </w:r>
          </w:p>
        </w:tc>
        <w:tc>
          <w:tcPr>
            <w:tcW w:w="18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pPr>
            <w:r>
              <w:rPr/>
              <w:t>$</w:t>
            </w:r>
          </w:p>
        </w:tc>
        <w:tc>
          <w:tcPr>
            <w:tcW w:w="988" w:type="dxa"/>
            <w:tcBorders/>
            <w:shd w:fill="CCEEFF" w:val="clear"/>
            <w:vAlign w:val="bottom"/>
          </w:tcPr>
          <w:p>
            <w:pPr>
              <w:pStyle w:val="TableContents"/>
              <w:bidi w:val="0"/>
              <w:spacing w:before="0" w:after="0"/>
              <w:jc w:val="right"/>
              <w:rPr/>
            </w:pPr>
            <w:r>
              <w:rPr/>
              <w:t>1,124</w:t>
            </w:r>
          </w:p>
        </w:tc>
        <w:tc>
          <w:tcPr>
            <w:tcW w:w="17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jc w:val="left"/>
              <w:rPr/>
            </w:pPr>
            <w:r>
              <w:rPr/>
              <w:t>Deferred U.S. income tax expense (benefit)</w:t>
            </w:r>
          </w:p>
        </w:tc>
        <w:tc>
          <w:tcPr>
            <w:tcW w:w="90" w:type="dxa"/>
            <w:tcBorders/>
            <w:vAlign w:val="bottom"/>
          </w:tcPr>
          <w:p>
            <w:pPr>
              <w:pStyle w:val="TableContents"/>
              <w:bidi w:val="0"/>
              <w:spacing w:before="0" w:after="283"/>
              <w:jc w:val="lef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(405</w:t>
            </w:r>
          </w:p>
        </w:tc>
        <w:tc>
          <w:tcPr>
            <w:tcW w:w="185" w:type="dxa"/>
            <w:tcBorders/>
            <w:vAlign w:val="bottom"/>
          </w:tcPr>
          <w:p>
            <w:pPr>
              <w:pStyle w:val="TableContents"/>
              <w:bidi w:val="0"/>
              <w:spacing w:before="0" w:after="0"/>
              <w:jc w:val="left"/>
              <w:rPr/>
            </w:pPr>
            <w:r>
              <w:rPr/>
              <w:t>)</w:t>
            </w:r>
          </w:p>
        </w:tc>
        <w:tc>
          <w:tcPr>
            <w:tcW w:w="133" w:type="dxa"/>
            <w:tcBorders/>
            <w:vAlign w:val="bottom"/>
          </w:tcPr>
          <w:p>
            <w:pPr>
              <w:pStyle w:val="TableContents"/>
              <w:bidi w:val="0"/>
              <w:spacing w:before="0" w:after="283"/>
              <w:jc w:val="lef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tcMar>
              <w:bottom w:w="28" w:type="dxa"/>
            </w:tcMar>
            <w:vAlign w:val="bottom"/>
          </w:tcPr>
          <w:p>
            <w:pPr>
              <w:pStyle w:val="TableContents"/>
              <w:bidi w:val="0"/>
              <w:spacing w:before="0" w:after="0"/>
              <w:jc w:val="right"/>
              <w:rPr/>
            </w:pPr>
            <w:r>
              <w:rPr/>
              <w:t>(1,356</w:t>
            </w:r>
          </w:p>
        </w:tc>
        <w:tc>
          <w:tcPr>
            <w:tcW w:w="170" w:type="dxa"/>
            <w:tcBorders/>
            <w:vAlign w:val="bottom"/>
          </w:tcPr>
          <w:p>
            <w:pPr>
              <w:pStyle w:val="TableContents"/>
              <w:bidi w:val="0"/>
              <w:spacing w:before="0" w:after="0"/>
              <w:jc w:val="left"/>
              <w:rPr/>
            </w:pPr>
            <w:r>
              <w:rPr/>
              <w:t>)</w:t>
            </w:r>
          </w:p>
        </w:tc>
      </w:tr>
      <w:tr>
        <w:trPr/>
        <w:tc>
          <w:tcPr>
            <w:tcW w:w="417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1,704</w:t>
            </w:r>
          </w:p>
        </w:tc>
        <w:tc>
          <w:tcPr>
            <w:tcW w:w="18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8" w:type="dxa"/>
            <w:tcBorders>
              <w:bottom w:val="double" w:sz="8" w:space="0" w:color="000000"/>
            </w:tcBorders>
            <w:shd w:fill="CCEEFF" w:val="clear"/>
            <w:tcMar>
              <w:bottom w:w="28" w:type="dxa"/>
            </w:tcMar>
            <w:vAlign w:val="bottom"/>
          </w:tcPr>
          <w:p>
            <w:pPr>
              <w:pStyle w:val="TableContents"/>
              <w:bidi w:val="0"/>
              <w:spacing w:before="0" w:after="0"/>
              <w:jc w:val="right"/>
              <w:rPr/>
            </w:pPr>
            <w:r>
              <w:rPr/>
              <w:t>(232</w:t>
            </w:r>
          </w:p>
        </w:tc>
        <w:tc>
          <w:tcPr>
            <w:tcW w:w="17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formal tax-sharing agreements, and files a consolidated income tax return, with its subsidiaries. Tax years 2022, 2023 and 2024 are considered open tax years that remain subject to examination by the Internal Revenue Service.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11. Credit Arrangements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i/>
          <w:sz w:val="20"/>
        </w:rPr>
      </w:pPr>
      <w:r>
        <w:rPr>
          <w:rFonts w:ascii="Times New Roman" w:hAnsi="Times New Roman"/>
          <w:b/>
          <w:i/>
          <w:sz w:val="20"/>
        </w:rPr>
        <w:t>Bank Debt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12, 2021, the Company entered into a revolving credit agreement (“Revolving Credit Agreement”) with Truist Bank as the lender (the “Lender”). The Revolving Credit Agreement provides for an unsecured $10,000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$64,200. On May 27, 2026, July 31, 2026, October 9, 2026 and October 15, 2026, the Company and the Lender entered into amendments to the Credit Agreement, each of which had the effect of extending the then-applicable deadlines by which the Company must deliver to the Lender (i) the Company’s audited consolidated financial statements for the year ended December 31, 2025, (ii) the Company’s interim consolidated financial statements for the quarters ended March 31, 2026, June 30, 2026 and September 30, 2026, and (iii) related certificates of the Company’s compliance with financial covenants under the Credit Agreement and certain other matters. The Fifth Amendment to the Revolving Credit Agreement, dated October 15, 2026, also amended the minimum AM Best financial strength rating that must be maintained by American Southern Insurance Company to be no lower than “A-” and waived related defaults under the Credit Agreement occurring prior to such amendment. Except as modified by these amendments, the existing terms of the original Credit Agreement remain in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Credit Agreement requires the Company to comply with certain covenants, including a debt-to-capital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December 31, 2025 and 2024, the Company had outstanding borrowings of $5,021 and $4,023, respectively, under the Credit Agreement.</w:t>
      </w:r>
    </w:p>
    <w:p>
      <w:pPr>
        <w:pStyle w:val="TextBody"/>
        <w:bidi w:val="0"/>
        <w:spacing w:before="0" w:after="0"/>
        <w:jc w:val="left"/>
        <w:rPr/>
      </w:pPr>
      <w:r>
        <w:rPr/>
      </w:r>
    </w:p>
    <w:p>
      <w:pPr>
        <w:pStyle w:val="TextBody"/>
        <w:bidi w:val="0"/>
        <w:spacing w:before="0" w:after="0"/>
        <w:ind w:left="2" w:right="0" w:hanging="0"/>
        <w:jc w:val="both"/>
        <w:rPr>
          <w:rFonts w:ascii="Times New Roman" w:hAnsi="Times New Roman"/>
          <w:sz w:val="20"/>
        </w:rPr>
      </w:pPr>
      <w:r>
        <w:rPr>
          <w:rFonts w:ascii="Times New Roman" w:hAnsi="Times New Roman"/>
          <w:sz w:val="20"/>
        </w:rPr>
        <w:t>For the year ended 2025 and 2024, the Company incurred $257 and $283 in interest expense, respectively, on the revolving credit facility borrowing. During the year ended 2025 and 2024, the Company paid $12 and $9, respectively, in fees on the available unused amount of the </w:t>
      </w:r>
      <w:r>
        <w:rPr>
          <w:rFonts w:ascii="Times New Roman" w:hAnsi="Times New Roman"/>
          <w:spacing w:val="0"/>
          <w:sz w:val="20"/>
        </w:rPr>
        <w:t>revolving credit facility of $5,000 and $6,000, respectively. At December 31, 2025 and 2024, the effective interest rate was 5.97% and 6.67%, respectively.</w:t>
      </w:r>
    </w:p>
    <w:p>
      <w:pPr>
        <w:pStyle w:val="TextBody"/>
        <w:bidi w:val="0"/>
        <w:spacing w:before="0" w:after="0"/>
        <w:jc w:val="left"/>
        <w:rPr/>
      </w:pPr>
      <w:r>
        <w:rPr/>
      </w:r>
    </w:p>
    <w:p>
      <w:pPr>
        <w:pStyle w:val="TextBody"/>
        <w:bidi w:val="0"/>
        <w:spacing w:before="0" w:after="0"/>
        <w:ind w:left="2" w:right="0" w:firstLine="718"/>
        <w:jc w:val="left"/>
        <w:rPr>
          <w:rFonts w:ascii="Times New Roman" w:hAnsi="Times New Roman"/>
          <w:b/>
          <w:i/>
          <w:sz w:val="20"/>
        </w:rPr>
      </w:pPr>
      <w:r>
        <w:rPr>
          <w:rFonts w:ascii="Times New Roman" w:hAnsi="Times New Roman"/>
          <w:b/>
          <w:i/>
          <w:sz w:val="20"/>
        </w:rPr>
        <w:t>Junior Subordinated Debentures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the Company; and (iii) engaging in those activities necessary or incidental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outstanding $18,042 and $15,696 of Junior Subordinated Debentures mature on December 4, 2032 and May 15, 2033, respectively, are callable quarterly, in whole or in part, only at the option of the Company. Prior to July 1, 2023, the interest rate was based on 3-month LIBOR plus an applicable margin. Effective July 1, 2023, the interest rate is determined based on a reference rate of the 3-month SOFR plus applicable tenor spread of 0.26161% plus an applicable margin, ranging from 4.00% to 4.10%. At December 31, 2025 and 2024, the effective interest rate was 8.13% and 8.82%,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financial structure of each of Atlantic American Statutory Trust I and II, as of December 31, 2025 and 2024, was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2" w:name="z3cecbcee4d614b978e9d4f13acd61dd1"/>
      <w:bookmarkStart w:id="273" w:name="z3cecbcee4d614b978e9d4f13acd61dd1"/>
      <w:bookmarkEnd w:id="273"/>
    </w:p>
    <w:tbl>
      <w:tblPr>
        <w:tblW w:w="10205" w:type="dxa"/>
        <w:jc w:val="left"/>
        <w:tblInd w:w="0" w:type="dxa"/>
        <w:tblLayout w:type="fixed"/>
        <w:tblCellMar>
          <w:top w:w="0" w:type="dxa"/>
          <w:left w:w="0" w:type="dxa"/>
          <w:bottom w:w="0" w:type="dxa"/>
          <w:right w:w="0" w:type="dxa"/>
        </w:tblCellMar>
      </w:tblPr>
      <w:tblGrid>
        <w:gridCol w:w="3594"/>
        <w:gridCol w:w="90"/>
        <w:gridCol w:w="201"/>
        <w:gridCol w:w="2891"/>
        <w:gridCol w:w="90"/>
        <w:gridCol w:w="90"/>
        <w:gridCol w:w="201"/>
        <w:gridCol w:w="2891"/>
        <w:gridCol w:w="157"/>
      </w:tblGrid>
      <w:tr>
        <w:trPr/>
        <w:tc>
          <w:tcPr>
            <w:tcW w:w="3594"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01" w:type="dxa"/>
            <w:tcBorders/>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center"/>
              <w:rPr>
                <w:b/>
              </w:rPr>
            </w:pPr>
            <w:r>
              <w:rPr>
                <w:b/>
              </w:rPr>
              <w:t>Atlantic American</w:t>
            </w:r>
          </w:p>
          <w:p>
            <w:pPr>
              <w:pStyle w:val="TableContents"/>
              <w:bidi w:val="0"/>
              <w:spacing w:before="0" w:after="0"/>
              <w:jc w:val="center"/>
              <w:rPr>
                <w:b/>
              </w:rPr>
            </w:pPr>
            <w:r>
              <w:rPr>
                <w:b/>
              </w:rPr>
              <w:t>Statutory Trust I</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01" w:type="dxa"/>
            <w:tcBorders/>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center"/>
              <w:rPr>
                <w:b/>
              </w:rPr>
            </w:pPr>
            <w:r>
              <w:rPr>
                <w:b/>
              </w:rPr>
              <w:t>Atlantic American</w:t>
            </w:r>
          </w:p>
          <w:p>
            <w:pPr>
              <w:pStyle w:val="TableContents"/>
              <w:bidi w:val="0"/>
              <w:spacing w:before="0" w:after="0"/>
              <w:jc w:val="center"/>
              <w:rPr>
                <w:b/>
              </w:rPr>
            </w:pPr>
            <w:r>
              <w:rPr>
                <w:b/>
              </w:rPr>
              <w:t>Statutory Trust II</w:t>
            </w:r>
          </w:p>
        </w:tc>
        <w:tc>
          <w:tcPr>
            <w:tcW w:w="157" w:type="dxa"/>
            <w:tcBorders/>
            <w:vAlign w:val="bottom"/>
          </w:tcPr>
          <w:p>
            <w:pPr>
              <w:pStyle w:val="TableContents"/>
              <w:bidi w:val="0"/>
              <w:spacing w:before="0" w:after="283"/>
              <w:jc w:val="left"/>
              <w:rPr/>
            </w:pPr>
            <w:r>
              <w:rPr/>
            </w:r>
          </w:p>
        </w:tc>
      </w:tr>
      <w:tr>
        <w:trPr/>
        <w:tc>
          <w:tcPr>
            <w:tcW w:w="3594" w:type="dxa"/>
            <w:tcBorders/>
            <w:vAlign w:val="bottom"/>
          </w:tcPr>
          <w:p>
            <w:pPr>
              <w:pStyle w:val="TableContents"/>
              <w:bidi w:val="0"/>
              <w:spacing w:lineRule="auto" w:line="240" w:before="0" w:after="0"/>
              <w:jc w:val="left"/>
              <w:rPr/>
            </w:pPr>
            <w:r>
              <w:rPr/>
              <w:t>JUNIOR SUBORDINATED DEBENTURES(1)(2)</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Balance December 31, 2025</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xml:space="preserve">$ </w:t>
            </w:r>
          </w:p>
        </w:tc>
        <w:tc>
          <w:tcPr>
            <w:tcW w:w="2891" w:type="dxa"/>
            <w:tcBorders/>
            <w:shd w:fill="CCEEFF" w:val="clear"/>
            <w:vAlign w:val="bottom"/>
          </w:tcPr>
          <w:p>
            <w:pPr>
              <w:pStyle w:val="TableContents"/>
              <w:bidi w:val="0"/>
              <w:spacing w:before="0" w:after="0"/>
              <w:jc w:val="right"/>
              <w:rPr/>
            </w:pPr>
            <w:r>
              <w:rPr/>
              <w:t>18,042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xml:space="preserve">$ </w:t>
            </w:r>
          </w:p>
        </w:tc>
        <w:tc>
          <w:tcPr>
            <w:tcW w:w="2891" w:type="dxa"/>
            <w:tcBorders/>
            <w:shd w:fill="CCEEFF" w:val="clear"/>
            <w:vAlign w:val="bottom"/>
          </w:tcPr>
          <w:p>
            <w:pPr>
              <w:pStyle w:val="TableContents"/>
              <w:bidi w:val="0"/>
              <w:spacing w:before="0" w:after="0"/>
              <w:jc w:val="right"/>
              <w:rPr/>
            </w:pPr>
            <w:r>
              <w:rPr/>
              <w:t>23,196</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lineRule="auto" w:line="240" w:before="0" w:after="0"/>
              <w:jc w:val="left"/>
              <w:rPr/>
            </w:pPr>
            <w:r>
              <w:rPr/>
              <w:t>Less: Treasury debt(3)</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(7,500</w:t>
            </w:r>
          </w:p>
        </w:tc>
        <w:tc>
          <w:tcPr>
            <w:tcW w:w="157" w:type="dxa"/>
            <w:tcBorders/>
            <w:vAlign w:val="bottom"/>
          </w:tcPr>
          <w:p>
            <w:pPr>
              <w:pStyle w:val="TableContents"/>
              <w:bidi w:val="0"/>
              <w:spacing w:before="0" w:after="0"/>
              <w:jc w:val="left"/>
              <w:rPr/>
            </w:pPr>
            <w:r>
              <w:rPr/>
              <w:t>)</w:t>
            </w:r>
          </w:p>
        </w:tc>
      </w:tr>
      <w:tr>
        <w:trPr/>
        <w:tc>
          <w:tcPr>
            <w:tcW w:w="3594" w:type="dxa"/>
            <w:tcBorders/>
            <w:shd w:fill="CCEEFF" w:val="clear"/>
            <w:vAlign w:val="bottom"/>
          </w:tcPr>
          <w:p>
            <w:pPr>
              <w:pStyle w:val="TableContents"/>
              <w:bidi w:val="0"/>
              <w:spacing w:before="0" w:after="0"/>
              <w:jc w:val="left"/>
              <w:rPr/>
            </w:pPr>
            <w:r>
              <w:rPr/>
              <w:t>Net balance December 31, 2025</w:t>
            </w:r>
          </w:p>
        </w:tc>
        <w:tc>
          <w:tcPr>
            <w:tcW w:w="9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shd w:fill="CCEEFF" w:val="clear"/>
            <w:tcMar>
              <w:bottom w:w="28" w:type="dxa"/>
            </w:tcMar>
            <w:vAlign w:val="bottom"/>
          </w:tcPr>
          <w:p>
            <w:pPr>
              <w:pStyle w:val="TableContents"/>
              <w:bidi w:val="0"/>
              <w:spacing w:before="0" w:after="0"/>
              <w:jc w:val="right"/>
              <w:rPr/>
            </w:pPr>
            <w:r>
              <w:rPr/>
              <w:t>18,042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shd w:fill="CCEEFF" w:val="clear"/>
            <w:tcMar>
              <w:bottom w:w="28" w:type="dxa"/>
            </w:tcMar>
            <w:vAlign w:val="bottom"/>
          </w:tcPr>
          <w:p>
            <w:pPr>
              <w:pStyle w:val="TableContents"/>
              <w:bidi w:val="0"/>
              <w:spacing w:before="0" w:after="0"/>
              <w:jc w:val="right"/>
              <w:rPr/>
            </w:pPr>
            <w:r>
              <w:rPr/>
              <w:t>15,696</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Net balance December 31, 2024</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18,042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15,696</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Coupon rate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3-Month SOFR + 0.26161 spread adj + 4.00%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3-Month SOFR + 0.26161 spread adj + 4.10%</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Interest payable</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Quarterly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Quarterly</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Maturity date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December 4, 2032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May 15, 2033</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Redeemable by issuer</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Yes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Yes</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TRUST PREFERRED SECURITIES</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Issuance date</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December 4, 2002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May 15, 2003</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Securities issued</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17,500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22,500</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Liquidation preference per security</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xml:space="preserve">$ </w:t>
            </w:r>
          </w:p>
        </w:tc>
        <w:tc>
          <w:tcPr>
            <w:tcW w:w="2891" w:type="dxa"/>
            <w:tcBorders/>
            <w:vAlign w:val="bottom"/>
          </w:tcPr>
          <w:p>
            <w:pPr>
              <w:pStyle w:val="TableContents"/>
              <w:bidi w:val="0"/>
              <w:spacing w:before="0" w:after="0"/>
              <w:jc w:val="right"/>
              <w:rPr/>
            </w:pPr>
            <w:r>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xml:space="preserve">$ </w:t>
            </w:r>
          </w:p>
        </w:tc>
        <w:tc>
          <w:tcPr>
            <w:tcW w:w="2891" w:type="dxa"/>
            <w:tcBorders/>
            <w:vAlign w:val="bottom"/>
          </w:tcPr>
          <w:p>
            <w:pPr>
              <w:pStyle w:val="TableContents"/>
              <w:bidi w:val="0"/>
              <w:spacing w:before="0" w:after="0"/>
              <w:jc w:val="right"/>
              <w:rPr/>
            </w:pPr>
            <w:r>
              <w:rPr/>
              <w:t>1</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Liquidation value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xml:space="preserve">$ </w:t>
            </w:r>
          </w:p>
        </w:tc>
        <w:tc>
          <w:tcPr>
            <w:tcW w:w="2891" w:type="dxa"/>
            <w:tcBorders/>
            <w:shd w:fill="CCEEFF" w:val="clear"/>
            <w:vAlign w:val="bottom"/>
          </w:tcPr>
          <w:p>
            <w:pPr>
              <w:pStyle w:val="TableContents"/>
              <w:bidi w:val="0"/>
              <w:spacing w:before="0" w:after="0"/>
              <w:jc w:val="right"/>
              <w:rPr/>
            </w:pPr>
            <w:r>
              <w:rPr/>
              <w:t>17,500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2891" w:type="dxa"/>
            <w:tcBorders/>
            <w:shd w:fill="CCEEFF" w:val="clear"/>
            <w:vAlign w:val="bottom"/>
          </w:tcPr>
          <w:p>
            <w:pPr>
              <w:pStyle w:val="TableContents"/>
              <w:bidi w:val="0"/>
              <w:spacing w:before="0" w:after="0"/>
              <w:jc w:val="right"/>
              <w:rPr/>
            </w:pPr>
            <w:r>
              <w:rPr/>
              <w:t>22,500</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Coupon rate</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3-Month SOFR + 0.26161 spread adj + 4.00%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3-Month SOFR + 0.26161 spread adj + 4.10%</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Distribution payable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Quarterly</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Quarterly</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lineRule="auto" w:line="240" w:before="0" w:after="0"/>
              <w:jc w:val="left"/>
              <w:rPr/>
            </w:pPr>
            <w:r>
              <w:rPr/>
              <w:t>Distribution guaranteed by(4)</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center"/>
          </w:tcPr>
          <w:p>
            <w:pPr>
              <w:pStyle w:val="TableContents"/>
              <w:bidi w:val="0"/>
              <w:spacing w:before="0" w:after="0"/>
              <w:jc w:val="right"/>
              <w:rPr/>
            </w:pPr>
            <w:r>
              <w:rPr/>
              <w:t>Atlantic American Corporation</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2891" w:type="dxa"/>
            <w:tcBorders/>
            <w:vAlign w:val="center"/>
          </w:tcPr>
          <w:p>
            <w:pPr>
              <w:pStyle w:val="TableContents"/>
              <w:bidi w:val="0"/>
              <w:spacing w:before="0" w:after="0"/>
              <w:jc w:val="right"/>
              <w:rPr/>
            </w:pPr>
            <w:r>
              <w:rPr/>
              <w:t>Atlantic American Corporation</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4" w:name="ze00fa8aac624489bb3ada769e216561b"/>
      <w:bookmarkStart w:id="275" w:name="ze00fa8aac624489bb3ada769e216561b"/>
      <w:bookmarkEnd w:id="275"/>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pPr>
            <w:r>
              <w:rPr/>
              <w:t>(1)</w:t>
            </w:r>
          </w:p>
        </w:tc>
        <w:tc>
          <w:tcPr>
            <w:tcW w:w="9937" w:type="dxa"/>
            <w:tcBorders/>
            <w:vAlign w:val="center"/>
          </w:tcPr>
          <w:p>
            <w:pPr>
              <w:pStyle w:val="TableContents"/>
              <w:bidi w:val="0"/>
              <w:spacing w:before="0" w:after="0"/>
              <w:jc w:val="left"/>
              <w:rPr/>
            </w:pPr>
            <w:r>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tc>
      </w:tr>
    </w:tbl>
    <w:p>
      <w:pPr>
        <w:pStyle w:val="Normal"/>
        <w:bidi w:val="0"/>
        <w:spacing w:before="0" w:after="0"/>
        <w:jc w:val="left"/>
        <w:rPr>
          <w:sz w:val="4"/>
          <w:szCs w:val="4"/>
        </w:rPr>
      </w:pPr>
      <w:r>
        <w:rPr>
          <w:sz w:val="4"/>
          <w:szCs w:val="4"/>
        </w:rPr>
      </w:r>
      <w:bookmarkStart w:id="276" w:name="new_id"/>
      <w:bookmarkStart w:id="277" w:name="new_id"/>
      <w:bookmarkEnd w:id="277"/>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pPr>
            <w:r>
              <w:rPr/>
              <w:t>(2)</w:t>
            </w:r>
          </w:p>
        </w:tc>
        <w:tc>
          <w:tcPr>
            <w:tcW w:w="9912" w:type="dxa"/>
            <w:tcBorders/>
            <w:vAlign w:val="center"/>
          </w:tcPr>
          <w:p>
            <w:pPr>
              <w:pStyle w:val="TableContents"/>
              <w:bidi w:val="0"/>
              <w:spacing w:before="0" w:after="283"/>
              <w:jc w:val="left"/>
              <w:rPr/>
            </w:pPr>
            <w:r>
              <w:rPr/>
              <w:t>The Junior Subordinated Debentures are unsecured and rank junior and subordinate in right of payment to all senior debt of the Parent and are effectively subordinated to all existing and future liabilities of its subsidiaries.</w:t>
            </w:r>
          </w:p>
        </w:tc>
      </w:tr>
    </w:tbl>
    <w:p>
      <w:pPr>
        <w:pStyle w:val="Normal"/>
        <w:bidi w:val="0"/>
        <w:spacing w:before="0" w:after="0"/>
        <w:jc w:val="left"/>
        <w:rPr>
          <w:sz w:val="4"/>
          <w:szCs w:val="4"/>
        </w:rPr>
      </w:pPr>
      <w:r>
        <w:rPr>
          <w:sz w:val="4"/>
          <w:szCs w:val="4"/>
        </w:rPr>
      </w:r>
      <w:bookmarkStart w:id="278" w:name="new_id-0"/>
      <w:bookmarkStart w:id="279" w:name="new_id-0"/>
      <w:bookmarkEnd w:id="279"/>
    </w:p>
    <w:tbl>
      <w:tblPr>
        <w:tblW w:w="7915" w:type="dxa"/>
        <w:jc w:val="left"/>
        <w:tblInd w:w="0" w:type="dxa"/>
        <w:tblLayout w:type="fixed"/>
        <w:tblCellMar>
          <w:top w:w="0" w:type="dxa"/>
          <w:left w:w="0" w:type="dxa"/>
          <w:bottom w:w="0" w:type="dxa"/>
          <w:right w:w="0" w:type="dxa"/>
        </w:tblCellMar>
      </w:tblPr>
      <w:tblGrid>
        <w:gridCol w:w="335"/>
        <w:gridCol w:w="7580"/>
      </w:tblGrid>
      <w:tr>
        <w:trPr/>
        <w:tc>
          <w:tcPr>
            <w:tcW w:w="335" w:type="dxa"/>
            <w:tcBorders/>
            <w:vAlign w:val="center"/>
          </w:tcPr>
          <w:p>
            <w:pPr>
              <w:pStyle w:val="TableContents"/>
              <w:bidi w:val="0"/>
              <w:spacing w:before="0" w:after="0"/>
              <w:jc w:val="left"/>
              <w:rPr/>
            </w:pPr>
            <w:r>
              <w:rPr/>
              <w:t>(3)</w:t>
            </w:r>
          </w:p>
        </w:tc>
        <w:tc>
          <w:tcPr>
            <w:tcW w:w="7580" w:type="dxa"/>
            <w:tcBorders/>
            <w:vAlign w:val="center"/>
          </w:tcPr>
          <w:p>
            <w:pPr>
              <w:pStyle w:val="TableContents"/>
              <w:bidi w:val="0"/>
              <w:spacing w:before="0" w:after="283"/>
              <w:jc w:val="left"/>
              <w:rPr/>
            </w:pPr>
            <w:r>
              <w:rPr/>
              <w:t>In 2014, the Company acquired $7,500 of the Junior Subordinated Debentures.</w:t>
            </w:r>
          </w:p>
        </w:tc>
      </w:tr>
    </w:tbl>
    <w:p>
      <w:pPr>
        <w:pStyle w:val="Normal"/>
        <w:bidi w:val="0"/>
        <w:spacing w:before="0" w:after="0"/>
        <w:jc w:val="left"/>
        <w:rPr>
          <w:sz w:val="4"/>
          <w:szCs w:val="4"/>
        </w:rPr>
      </w:pPr>
      <w:r>
        <w:rPr>
          <w:sz w:val="4"/>
          <w:szCs w:val="4"/>
        </w:rPr>
      </w:r>
      <w:bookmarkStart w:id="280" w:name="new_id-1"/>
      <w:bookmarkStart w:id="281" w:name="new_id-1"/>
      <w:bookmarkEnd w:id="281"/>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pPr>
            <w:r>
              <w:rPr/>
              <w:t>(4)</w:t>
            </w:r>
          </w:p>
        </w:tc>
        <w:tc>
          <w:tcPr>
            <w:tcW w:w="9920" w:type="dxa"/>
            <w:tcBorders/>
            <w:vAlign w:val="center"/>
          </w:tcPr>
          <w:p>
            <w:pPr>
              <w:pStyle w:val="TableContents"/>
              <w:bidi w:val="0"/>
              <w:spacing w:before="0" w:after="0"/>
              <w:jc w:val="left"/>
              <w:rPr/>
            </w:pPr>
            <w:r>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12. Leases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three operating lease agreements, each for the use of office space in the ordinary course of business. The original term of the first lease was to automatically renew on an annual basis and was amended on December 26, 2024, when the Company and its subsidiary, Bankers Fidelity Life Insurance Company, entered into a Second Amendment to the Lease Agreement (the “Second Amendment”) with 4370 Peachtree LLC. The Second Amendment amends the Lease Agreement, dated November 1, 2007, by and among the same parties (as previously amended, the “Lease Agreement”), pursuant to which the Company leases space for its principal offices and for some of its insurance operations in an office building located in Atlanta, Georgia. Pursuant to the Second Amendment, the Lease Agreement was modified to increase the base rent payable by the Company, beginning January 1, 2025. The Second Amendment also provides for rent adjustment on January 1, 2027, January 1, 2030 and each five years thereafter.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original term of the second lease was ten years and amended in January 2017 to provide for an additional seven years, with a termination date on September 30, 2026. The second lease was amended on April 2, 2026 to extend the lease, commencing on October 1, 2026 and expiring on July 31, 2037. The rate used in determining the present value of lease payments is based upon an estimate of the Company’s incremental secured borrowing rate commensurate with the term of the underlying lease.</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sz w:val="20"/>
        </w:rPr>
        <w:t>The original term of the third lease was three years and renewed for an additional three years, effective August 1, 2025 with a termination date on July 31, 2028. The rate used in determining the present value of lease payments is based upon an estimate of the Company’s incremental secured borrowing rate commensurate with the term of the underlying lease.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leases are accounted for as operating leases, whereby lease expense is recognized on a straight-line basis over the term of the lease. Lease expense reported for each of the years ended December 31, 2025 and 2024 was $1,186 and $1,014.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Additional information regarding the Company’s real estate operating leases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2" w:name="zaee7783615f74567a1480ac15251ced9"/>
      <w:bookmarkStart w:id="283" w:name="zaee7783615f74567a1480ac15251ced9"/>
      <w:bookmarkEnd w:id="283"/>
    </w:p>
    <w:tbl>
      <w:tblPr>
        <w:tblW w:w="10205" w:type="dxa"/>
        <w:jc w:val="left"/>
        <w:tblInd w:w="0" w:type="dxa"/>
        <w:tblLayout w:type="fixed"/>
        <w:tblCellMar>
          <w:top w:w="0" w:type="dxa"/>
          <w:left w:w="0" w:type="dxa"/>
          <w:bottom w:w="0" w:type="dxa"/>
          <w:right w:w="0" w:type="dxa"/>
        </w:tblCellMar>
      </w:tblPr>
      <w:tblGrid>
        <w:gridCol w:w="6185"/>
        <w:gridCol w:w="90"/>
        <w:gridCol w:w="368"/>
        <w:gridCol w:w="1284"/>
        <w:gridCol w:w="245"/>
        <w:gridCol w:w="90"/>
        <w:gridCol w:w="368"/>
        <w:gridCol w:w="1284"/>
        <w:gridCol w:w="291"/>
      </w:tblGrid>
      <w:tr>
        <w:trPr/>
        <w:tc>
          <w:tcPr>
            <w:tcW w:w="618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652" w:type="dxa"/>
            <w:gridSpan w:val="2"/>
            <w:tcBorders>
              <w:bottom w:val="single" w:sz="12" w:space="0" w:color="000000"/>
            </w:tcBorders>
            <w:tcMar>
              <w:bottom w:w="28" w:type="dxa"/>
            </w:tcMar>
            <w:vAlign w:val="bottom"/>
          </w:tcPr>
          <w:p>
            <w:pPr>
              <w:pStyle w:val="TableContents"/>
              <w:bidi w:val="0"/>
              <w:spacing w:before="0" w:after="0"/>
              <w:jc w:val="center"/>
              <w:rPr>
                <w:b/>
              </w:rPr>
            </w:pPr>
            <w:r>
              <w:rPr>
                <w:b/>
              </w:rPr>
              <w:t>Year Ended</w:t>
            </w:r>
          </w:p>
          <w:p>
            <w:pPr>
              <w:pStyle w:val="TableContents"/>
              <w:bidi w:val="0"/>
              <w:spacing w:before="0" w:after="0"/>
              <w:jc w:val="center"/>
              <w:rPr>
                <w:b/>
              </w:rPr>
            </w:pPr>
            <w:r>
              <w:rPr>
                <w:b/>
              </w:rPr>
              <w:t>December 31, 2025</w:t>
            </w:r>
          </w:p>
        </w:tc>
        <w:tc>
          <w:tcPr>
            <w:tcW w:w="24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652" w:type="dxa"/>
            <w:gridSpan w:val="2"/>
            <w:tcBorders>
              <w:bottom w:val="single" w:sz="12" w:space="0" w:color="000000"/>
            </w:tcBorders>
            <w:tcMar>
              <w:bottom w:w="28" w:type="dxa"/>
            </w:tcMar>
            <w:vAlign w:val="bottom"/>
          </w:tcPr>
          <w:p>
            <w:pPr>
              <w:pStyle w:val="TableContents"/>
              <w:bidi w:val="0"/>
              <w:spacing w:before="0" w:after="0"/>
              <w:jc w:val="center"/>
              <w:rPr>
                <w:b/>
              </w:rPr>
            </w:pPr>
            <w:r>
              <w:rPr>
                <w:b/>
              </w:rPr>
              <w:t>Year Ended</w:t>
            </w:r>
          </w:p>
          <w:p>
            <w:pPr>
              <w:pStyle w:val="TableContents"/>
              <w:bidi w:val="0"/>
              <w:spacing w:before="0" w:after="0"/>
              <w:jc w:val="center"/>
              <w:rPr>
                <w:b/>
              </w:rPr>
            </w:pPr>
            <w:r>
              <w:rPr>
                <w:b/>
              </w:rPr>
              <w:t>December 31, 2024</w:t>
            </w:r>
          </w:p>
        </w:tc>
        <w:tc>
          <w:tcPr>
            <w:tcW w:w="291" w:type="dxa"/>
            <w:tcBorders/>
            <w:vAlign w:val="bottom"/>
          </w:tcPr>
          <w:p>
            <w:pPr>
              <w:pStyle w:val="TableContents"/>
              <w:bidi w:val="0"/>
              <w:spacing w:before="0" w:after="283"/>
              <w:jc w:val="left"/>
              <w:rPr/>
            </w:pPr>
            <w:r>
              <w:rPr/>
            </w:r>
          </w:p>
        </w:tc>
      </w:tr>
      <w:tr>
        <w:trPr/>
        <w:tc>
          <w:tcPr>
            <w:tcW w:w="6185" w:type="dxa"/>
            <w:tcBorders/>
            <w:vAlign w:val="bottom"/>
          </w:tcPr>
          <w:p>
            <w:pPr>
              <w:pStyle w:val="TableContents"/>
              <w:bidi w:val="0"/>
              <w:spacing w:before="0" w:after="0"/>
              <w:jc w:val="left"/>
              <w:rPr>
                <w:b/>
              </w:rPr>
            </w:pPr>
            <w:r>
              <w:rPr>
                <w:b/>
              </w:rPr>
              <w:t>Other information on operating leases:</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r>
      <w:tr>
        <w:trPr/>
        <w:tc>
          <w:tcPr>
            <w:tcW w:w="6185" w:type="dxa"/>
            <w:tcBorders/>
            <w:shd w:fill="CCEEFF" w:val="clear"/>
            <w:vAlign w:val="bottom"/>
          </w:tcPr>
          <w:p>
            <w:pPr>
              <w:pStyle w:val="TableContents"/>
              <w:bidi w:val="0"/>
              <w:spacing w:before="0" w:after="0"/>
              <w:jc w:val="left"/>
              <w:rPr/>
            </w:pPr>
            <w:r>
              <w:rPr/>
              <w:t>Cash payments included in the measurement of lease liabilities reported in operating cash flows</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0"/>
              <w:jc w:val="left"/>
              <w:rPr/>
            </w:pPr>
            <w:r>
              <w:rPr/>
              <w:t>$</w:t>
            </w:r>
          </w:p>
        </w:tc>
        <w:tc>
          <w:tcPr>
            <w:tcW w:w="1284" w:type="dxa"/>
            <w:tcBorders/>
            <w:shd w:fill="CCEEFF" w:val="clear"/>
            <w:vAlign w:val="bottom"/>
          </w:tcPr>
          <w:p>
            <w:pPr>
              <w:pStyle w:val="TableContents"/>
              <w:bidi w:val="0"/>
              <w:spacing w:before="0" w:after="0"/>
              <w:jc w:val="right"/>
              <w:rPr/>
            </w:pPr>
            <w:r>
              <w:rPr/>
              <w:t>1,254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0"/>
              <w:jc w:val="left"/>
              <w:rPr/>
            </w:pPr>
            <w:r>
              <w:rPr/>
              <w:t>$</w:t>
            </w:r>
          </w:p>
        </w:tc>
        <w:tc>
          <w:tcPr>
            <w:tcW w:w="1284" w:type="dxa"/>
            <w:tcBorders/>
            <w:shd w:fill="CCEEFF" w:val="clear"/>
            <w:vAlign w:val="bottom"/>
          </w:tcPr>
          <w:p>
            <w:pPr>
              <w:pStyle w:val="TableContents"/>
              <w:bidi w:val="0"/>
              <w:spacing w:before="0" w:after="0"/>
              <w:jc w:val="right"/>
              <w:rPr/>
            </w:pPr>
            <w:r>
              <w:rPr/>
              <w:t>1,065</w:t>
            </w:r>
          </w:p>
        </w:tc>
        <w:tc>
          <w:tcPr>
            <w:tcW w:w="291" w:type="dxa"/>
            <w:tcBorders/>
            <w:shd w:fill="CCEEFF" w:val="clear"/>
            <w:vAlign w:val="bottom"/>
          </w:tcPr>
          <w:p>
            <w:pPr>
              <w:pStyle w:val="TableContents"/>
              <w:bidi w:val="0"/>
              <w:spacing w:before="0" w:after="283"/>
              <w:jc w:val="left"/>
              <w:rPr/>
            </w:pPr>
            <w:r>
              <w:rPr/>
              <w:t> </w:t>
            </w:r>
          </w:p>
        </w:tc>
      </w:tr>
      <w:tr>
        <w:trPr/>
        <w:tc>
          <w:tcPr>
            <w:tcW w:w="6185" w:type="dxa"/>
            <w:tcBorders/>
            <w:vAlign w:val="bottom"/>
          </w:tcPr>
          <w:p>
            <w:pPr>
              <w:pStyle w:val="TableContents"/>
              <w:bidi w:val="0"/>
              <w:spacing w:before="0" w:after="0"/>
              <w:jc w:val="left"/>
              <w:rPr/>
            </w:pPr>
            <w:r>
              <w:rPr/>
              <w:t>Right-of-use assets included in other assets on the consolidated balance sheet</w:t>
            </w:r>
          </w:p>
        </w:tc>
        <w:tc>
          <w:tcPr>
            <w:tcW w:w="9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pPr>
            <w:r>
              <w:rPr/>
              <w:t>4,632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pPr>
            <w:r>
              <w:rPr/>
              <w:t>5,225</w:t>
            </w:r>
          </w:p>
        </w:tc>
        <w:tc>
          <w:tcPr>
            <w:tcW w:w="291" w:type="dxa"/>
            <w:tcBorders/>
            <w:vAlign w:val="bottom"/>
          </w:tcPr>
          <w:p>
            <w:pPr>
              <w:pStyle w:val="TableContents"/>
              <w:bidi w:val="0"/>
              <w:spacing w:before="0" w:after="283"/>
              <w:jc w:val="left"/>
              <w:rPr/>
            </w:pPr>
            <w:r>
              <w:rPr/>
              <w:t> </w:t>
            </w:r>
          </w:p>
        </w:tc>
      </w:tr>
      <w:tr>
        <w:trPr/>
        <w:tc>
          <w:tcPr>
            <w:tcW w:w="6185" w:type="dxa"/>
            <w:tcBorders/>
            <w:shd w:fill="CCEEFF" w:val="clear"/>
            <w:vAlign w:val="bottom"/>
          </w:tcPr>
          <w:p>
            <w:pPr>
              <w:pStyle w:val="TableContents"/>
              <w:bidi w:val="0"/>
              <w:spacing w:before="0" w:after="0"/>
              <w:jc w:val="left"/>
              <w:rPr/>
            </w:pPr>
            <w:r>
              <w:rPr/>
              <w:t>Weighted average discount rate</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pPr>
            <w:r>
              <w:rPr/>
              <w:t>7.9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pPr>
            <w:r>
              <w:rPr/>
              <w:t>6.8</w:t>
            </w:r>
          </w:p>
        </w:tc>
        <w:tc>
          <w:tcPr>
            <w:tcW w:w="291" w:type="dxa"/>
            <w:tcBorders/>
            <w:shd w:fill="CCEEFF" w:val="clear"/>
            <w:vAlign w:val="bottom"/>
          </w:tcPr>
          <w:p>
            <w:pPr>
              <w:pStyle w:val="TableContents"/>
              <w:bidi w:val="0"/>
              <w:spacing w:before="0" w:after="0"/>
              <w:jc w:val="left"/>
              <w:rPr/>
            </w:pPr>
            <w:r>
              <w:rPr/>
              <w:t>%</w:t>
            </w:r>
          </w:p>
        </w:tc>
      </w:tr>
      <w:tr>
        <w:trPr/>
        <w:tc>
          <w:tcPr>
            <w:tcW w:w="6185" w:type="dxa"/>
            <w:tcBorders/>
            <w:vAlign w:val="bottom"/>
          </w:tcPr>
          <w:p>
            <w:pPr>
              <w:pStyle w:val="TableContents"/>
              <w:bidi w:val="0"/>
              <w:spacing w:before="0" w:after="0"/>
              <w:jc w:val="left"/>
              <w:rPr/>
            </w:pPr>
            <w:r>
              <w:rPr/>
              <w:t>Weighted average remaining lease term in years</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0"/>
              <w:jc w:val="right"/>
              <w:rPr/>
            </w:pPr>
            <w:r>
              <w:rPr/>
              <w:t>6.7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0"/>
              <w:jc w:val="right"/>
              <w:rPr/>
            </w:pPr>
            <w:r>
              <w:rPr/>
              <w:t>7.9 years</w:t>
            </w:r>
          </w:p>
        </w:tc>
        <w:tc>
          <w:tcPr>
            <w:tcW w:w="291"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maturities and present value of the Company’s lease liabilities: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4" w:name="z04a1495aba544fda87873b490cd31eff"/>
      <w:bookmarkStart w:id="285" w:name="z04a1495aba544fda87873b490cd31eff"/>
      <w:bookmarkEnd w:id="285"/>
    </w:p>
    <w:tbl>
      <w:tblPr>
        <w:tblW w:w="10205" w:type="dxa"/>
        <w:jc w:val="left"/>
        <w:tblInd w:w="0" w:type="dxa"/>
        <w:tblLayout w:type="fixed"/>
        <w:tblCellMar>
          <w:top w:w="0" w:type="dxa"/>
          <w:left w:w="0" w:type="dxa"/>
          <w:bottom w:w="0" w:type="dxa"/>
          <w:right w:w="0" w:type="dxa"/>
        </w:tblCellMar>
      </w:tblPr>
      <w:tblGrid>
        <w:gridCol w:w="8562"/>
        <w:gridCol w:w="90"/>
        <w:gridCol w:w="315"/>
        <w:gridCol w:w="1101"/>
        <w:gridCol w:w="137"/>
      </w:tblGrid>
      <w:tr>
        <w:trPr/>
        <w:tc>
          <w:tcPr>
            <w:tcW w:w="85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Lease Liability</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jc w:val="left"/>
              <w:rPr/>
            </w:pPr>
            <w:r>
              <w:rPr/>
              <w:t>2026</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0"/>
              <w:jc w:val="left"/>
              <w:rPr/>
            </w:pPr>
            <w:r>
              <w:rPr/>
              <w:t>$</w:t>
            </w:r>
          </w:p>
        </w:tc>
        <w:tc>
          <w:tcPr>
            <w:tcW w:w="1101" w:type="dxa"/>
            <w:tcBorders/>
            <w:shd w:fill="CCEEFF" w:val="clear"/>
            <w:vAlign w:val="bottom"/>
          </w:tcPr>
          <w:p>
            <w:pPr>
              <w:pStyle w:val="TableContents"/>
              <w:bidi w:val="0"/>
              <w:spacing w:before="0" w:after="0"/>
              <w:jc w:val="right"/>
              <w:rPr/>
            </w:pPr>
            <w:r>
              <w:rPr/>
              <w:t>1,113</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2027</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0"/>
              <w:jc w:val="right"/>
              <w:rPr/>
            </w:pPr>
            <w:r>
              <w:rPr/>
              <w:t>693</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jc w:val="left"/>
              <w:rPr/>
            </w:pPr>
            <w:r>
              <w:rPr/>
              <w:t>2028</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0"/>
              <w:jc w:val="right"/>
              <w:rPr/>
            </w:pPr>
            <w:r>
              <w:rPr/>
              <w:t>673</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2029</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0"/>
              <w:jc w:val="right"/>
              <w:rPr/>
            </w:pPr>
            <w:r>
              <w:rPr/>
              <w:t>645</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jc w:val="left"/>
              <w:rPr/>
            </w:pPr>
            <w:r>
              <w:rPr/>
              <w:t>2030</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0"/>
              <w:jc w:val="right"/>
              <w:rPr/>
            </w:pPr>
            <w:r>
              <w:rPr/>
              <w:t>719</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Thereafter</w:t>
            </w:r>
          </w:p>
        </w:tc>
        <w:tc>
          <w:tcPr>
            <w:tcW w:w="90" w:type="dxa"/>
            <w:tcBorders/>
            <w:vAlign w:val="bottom"/>
          </w:tcPr>
          <w:p>
            <w:pPr>
              <w:pStyle w:val="TableContents"/>
              <w:bidi w:val="0"/>
              <w:spacing w:before="0" w:after="283"/>
              <w:jc w:val="left"/>
              <w:rPr/>
            </w:pPr>
            <w:r>
              <w:rPr/>
              <w:t> </w:t>
            </w:r>
          </w:p>
        </w:tc>
        <w:tc>
          <w:tcPr>
            <w:tcW w:w="3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1" w:type="dxa"/>
            <w:tcBorders>
              <w:bottom w:val="single" w:sz="12" w:space="0" w:color="000000"/>
            </w:tcBorders>
            <w:tcMar>
              <w:bottom w:w="28" w:type="dxa"/>
            </w:tcMar>
            <w:vAlign w:val="bottom"/>
          </w:tcPr>
          <w:p>
            <w:pPr>
              <w:pStyle w:val="TableContents"/>
              <w:bidi w:val="0"/>
              <w:spacing w:before="0" w:after="0"/>
              <w:jc w:val="right"/>
              <w:rPr/>
            </w:pPr>
            <w:r>
              <w:rPr/>
              <w:t>2,876</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ind w:left="180" w:right="0" w:hanging="0"/>
              <w:jc w:val="left"/>
              <w:rPr/>
            </w:pPr>
            <w:r>
              <w:rPr/>
              <w:t>Total undiscounted lease payments</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0"/>
              <w:jc w:val="right"/>
              <w:rPr/>
            </w:pPr>
            <w:r>
              <w:rPr/>
              <w:t>6,719</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Less: present value adjustment</w:t>
            </w:r>
          </w:p>
        </w:tc>
        <w:tc>
          <w:tcPr>
            <w:tcW w:w="90" w:type="dxa"/>
            <w:tcBorders/>
            <w:vAlign w:val="bottom"/>
          </w:tcPr>
          <w:p>
            <w:pPr>
              <w:pStyle w:val="TableContents"/>
              <w:bidi w:val="0"/>
              <w:spacing w:before="0" w:after="283"/>
              <w:jc w:val="left"/>
              <w:rPr/>
            </w:pPr>
            <w:r>
              <w:rPr/>
              <w:t> </w:t>
            </w:r>
          </w:p>
        </w:tc>
        <w:tc>
          <w:tcPr>
            <w:tcW w:w="3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1" w:type="dxa"/>
            <w:tcBorders>
              <w:bottom w:val="single" w:sz="12" w:space="0" w:color="000000"/>
            </w:tcBorders>
            <w:tcMar>
              <w:bottom w:w="28" w:type="dxa"/>
            </w:tcMar>
            <w:vAlign w:val="bottom"/>
          </w:tcPr>
          <w:p>
            <w:pPr>
              <w:pStyle w:val="TableContents"/>
              <w:bidi w:val="0"/>
              <w:spacing w:before="0" w:after="0"/>
              <w:jc w:val="right"/>
              <w:rPr/>
            </w:pPr>
            <w:r>
              <w:rPr/>
              <w:t>2,023</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ind w:left="180" w:right="0" w:hanging="0"/>
              <w:jc w:val="left"/>
              <w:rPr/>
            </w:pPr>
            <w:r>
              <w:rPr/>
              <w:t>Operating lease liability included in accounts payable and accrued expenses on the consolidated balance sheet</w:t>
            </w:r>
          </w:p>
        </w:tc>
        <w:tc>
          <w:tcPr>
            <w:tcW w:w="90" w:type="dxa"/>
            <w:tcBorders/>
            <w:shd w:fill="CCEEFF" w:val="clear"/>
            <w:vAlign w:val="bottom"/>
          </w:tcPr>
          <w:p>
            <w:pPr>
              <w:pStyle w:val="TableContents"/>
              <w:bidi w:val="0"/>
              <w:spacing w:before="0" w:after="283"/>
              <w:jc w:val="left"/>
              <w:rPr/>
            </w:pPr>
            <w:r>
              <w:rPr/>
              <w:t> </w:t>
            </w:r>
          </w:p>
        </w:tc>
        <w:tc>
          <w:tcPr>
            <w:tcW w:w="31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1" w:type="dxa"/>
            <w:tcBorders>
              <w:bottom w:val="double" w:sz="8" w:space="0" w:color="000000"/>
            </w:tcBorders>
            <w:shd w:fill="CCEEFF" w:val="clear"/>
            <w:tcMar>
              <w:bottom w:w="28" w:type="dxa"/>
            </w:tcMar>
            <w:vAlign w:val="bottom"/>
          </w:tcPr>
          <w:p>
            <w:pPr>
              <w:pStyle w:val="TableContents"/>
              <w:bidi w:val="0"/>
              <w:spacing w:before="0" w:after="0"/>
              <w:jc w:val="right"/>
              <w:rPr/>
            </w:pPr>
            <w:r>
              <w:rPr/>
              <w:t>4,696</w:t>
            </w:r>
          </w:p>
        </w:tc>
        <w:tc>
          <w:tcPr>
            <w:tcW w:w="13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13. Benefit Plans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Equity Incentive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24, 2022, the Company’s shareholders approved the 2022 Equity and Incentive Compensation Plan (the “2022 Plan”). The 2022 Plan authorizes the grant of up to 3,000,000 stock options, stock appreciation rights, restricted shares, restricted stock units, performance shares, performance units and other awards, and succeeded the 2012 Plan for the purpose of providing the Company’s non-employee directors, consultants, officers and other employees incentives and rewards for performance and service.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year ended 2025 and 2024, there were no restricted shares issued under the 2022 Plan. The estimated fair value of the restricted shares issued are based on the common stock price at date of grant. Stock grants are generally issued from treasury shares. Vesting of restricted shares generally occurs after a one to three year period following the date of grant. The Company accounts for forfeitures as they occur. There were no stock options granted or outstanding under the 2022 Plan in 2025 and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Shares available for future grant under the 2022 Plan at December 31, 2025 and 2024 were 2,960,000.</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401(k)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initiated an employees’ savings plan (the “Plan”) qualified under Section 401(k) of the Internal Revenue Code in May 1995. The Plan covers substantially all of the Company’s employees. Effective January 1, 2009, the Company modified the Plan such that the Plan would operate on a safe harbor basis. Under the Plan, employees may defer up to 50% of their compensation, not to exceed the annual deferral limit. The Company’s total matching contribution for 2025 and 2024 was $270 and $306, respectively, and consisted of a contribution equal to 35% of up to the first 6% of each participant’s contributions. In addition to the matching contribution, the Company also provided a 3% safe harbor non-elective contribution in 2025 and 2024 of $716 and $682, respectively. All contributions were made in cash. Participants are 100% vested in their own contributions and the vested percentage attributable to certain employer contributions is based on a five-year graded schedule.</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Agent Stock Purchase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initiated a nonqualified stock purchase plan (the “Agent Stock Purchase Plan”) in May 2012. The purpose of the Agent Stock Purchase Plan is to promote and advance the interests of the Company and its shareholders by providing independent agents who qualify as participants with an opportunity to purchase the common stock of the Company. Under the Agent Stock Purchase Plan, payment for shares of common stock of the Company is made by either deduction from an agent’s commission payment or a direct cash payment. Stock purchases are made at the end of each calendar quarter at the then current market value.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Note 14. Preferred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had 55,000 shares of Series D preferred stock (“Series D Preferred Stock”) outstanding at December 31, 2025 and 2024, respectively. All of the shares of Series D Preferred Stock are held by an affiliate of the Company’s controlling shareholder. The outstanding shares of Series D Preferred Stock have a par value of $1 per share and a redemption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1,378,000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The Company had accrued, but unpaid, dividends, on the Series D Preferred Stock of $18 at December 31, 2025 and 2024. During each of 2025 and 2024, the Company paid Series D Preferred Stock dividends of $399.</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15. Earnings (Loss) Per Common Share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Basic income (loss) per share was computed by dividing net income (loss) available to common shareholders by the weighted average number of common shares outstanding during the period. The computation of diluted income (loss) per share reflected the effect of potentially dilutive securities.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reconciliation of the numerator and denominator of the income (loss) per common share calculations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6" w:name="zeb1a583531084a52a4324a43085a2e0e"/>
      <w:bookmarkStart w:id="287" w:name="zeb1a583531084a52a4324a43085a2e0e"/>
      <w:bookmarkEnd w:id="287"/>
    </w:p>
    <w:tbl>
      <w:tblPr>
        <w:tblW w:w="4220" w:type="dxa"/>
        <w:jc w:val="left"/>
        <w:tblInd w:w="0" w:type="dxa"/>
        <w:tblLayout w:type="fixed"/>
        <w:tblCellMar>
          <w:top w:w="0" w:type="dxa"/>
          <w:left w:w="0" w:type="dxa"/>
          <w:bottom w:w="0" w:type="dxa"/>
          <w:right w:w="0" w:type="dxa"/>
        </w:tblCellMar>
      </w:tblPr>
      <w:tblGrid>
        <w:gridCol w:w="90"/>
        <w:gridCol w:w="4130"/>
      </w:tblGrid>
      <w:tr>
        <w:trPr/>
        <w:tc>
          <w:tcPr>
            <w:tcW w:w="90" w:type="dxa"/>
            <w:tcBorders/>
            <w:vAlign w:val="bottom"/>
          </w:tcPr>
          <w:p>
            <w:pPr>
              <w:pStyle w:val="TableContents"/>
              <w:bidi w:val="0"/>
              <w:spacing w:before="0" w:after="283"/>
              <w:jc w:val="left"/>
              <w:rPr/>
            </w:pPr>
            <w:r>
              <w:rPr/>
              <w:t> </w:t>
            </w:r>
          </w:p>
        </w:tc>
        <w:tc>
          <w:tcPr>
            <w:tcW w:w="4130" w:type="dxa"/>
            <w:tcBorders>
              <w:bottom w:val="single" w:sz="12" w:space="0" w:color="000000"/>
            </w:tcBorders>
            <w:tcMar>
              <w:bottom w:w="28" w:type="dxa"/>
            </w:tcMar>
            <w:vAlign w:val="bottom"/>
          </w:tcPr>
          <w:p>
            <w:pPr>
              <w:pStyle w:val="TableContents"/>
              <w:bidi w:val="0"/>
              <w:spacing w:before="0" w:after="0"/>
              <w:jc w:val="center"/>
              <w:rPr>
                <w:b/>
              </w:rPr>
            </w:pPr>
            <w:r>
              <w:rPr>
                <w:b/>
              </w:rPr>
              <w:t>For the Year Ended December 31, 2025</w:t>
            </w:r>
          </w:p>
        </w:tc>
      </w:tr>
    </w:tbl>
    <w:p>
      <w:pPr>
        <w:pStyle w:val="Normal"/>
        <w:bidi w:val="0"/>
        <w:spacing w:before="0" w:after="0"/>
        <w:jc w:val="left"/>
        <w:rPr>
          <w:sz w:val="4"/>
          <w:szCs w:val="4"/>
        </w:rPr>
      </w:pPr>
      <w:r>
        <w:rPr>
          <w:sz w:val="4"/>
          <w:szCs w:val="4"/>
        </w:rPr>
      </w:r>
      <w:bookmarkStart w:id="288" w:name="z7fca68caf3154723a2f0e27921f45156"/>
      <w:bookmarkStart w:id="289" w:name="z7fca68caf3154723a2f0e27921f45156"/>
      <w:bookmarkEnd w:id="289"/>
    </w:p>
    <w:tbl>
      <w:tblPr>
        <w:tblW w:w="8715" w:type="dxa"/>
        <w:jc w:val="left"/>
        <w:tblInd w:w="0" w:type="dxa"/>
        <w:tblLayout w:type="fixed"/>
        <w:tblCellMar>
          <w:top w:w="0" w:type="dxa"/>
          <w:left w:w="0" w:type="dxa"/>
          <w:bottom w:w="0" w:type="dxa"/>
          <w:right w:w="0" w:type="dxa"/>
        </w:tblCellMar>
      </w:tblPr>
      <w:tblGrid>
        <w:gridCol w:w="4790"/>
        <w:gridCol w:w="90"/>
        <w:gridCol w:w="178"/>
        <w:gridCol w:w="622"/>
        <w:gridCol w:w="125"/>
        <w:gridCol w:w="90"/>
        <w:gridCol w:w="147"/>
        <w:gridCol w:w="1163"/>
        <w:gridCol w:w="90"/>
        <w:gridCol w:w="230"/>
        <w:gridCol w:w="1070"/>
        <w:gridCol w:w="120"/>
      </w:tblGrid>
      <w:tr>
        <w:trPr/>
        <w:tc>
          <w:tcPr>
            <w:tcW w:w="47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8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Income</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center"/>
          </w:tcPr>
          <w:p>
            <w:pPr>
              <w:pStyle w:val="TableContents"/>
              <w:bidi w:val="0"/>
              <w:spacing w:before="0" w:after="0"/>
              <w:jc w:val="center"/>
              <w:rPr>
                <w:b/>
              </w:rPr>
            </w:pPr>
            <w:r>
              <w:rPr>
                <w:b/>
              </w:rPr>
              <w:t>Weighted</w:t>
            </w:r>
          </w:p>
          <w:p>
            <w:pPr>
              <w:pStyle w:val="TableContents"/>
              <w:bidi w:val="0"/>
              <w:spacing w:before="0" w:after="0"/>
              <w:jc w:val="center"/>
              <w:rPr>
                <w:b/>
              </w:rPr>
            </w:pPr>
            <w:r>
              <w:rPr>
                <w:b/>
              </w:rPr>
              <w:t xml:space="preserve">Average </w:t>
            </w:r>
          </w:p>
          <w:p>
            <w:pPr>
              <w:pStyle w:val="TableContents"/>
              <w:bidi w:val="0"/>
              <w:spacing w:before="0" w:after="0"/>
              <w:jc w:val="center"/>
              <w:rPr>
                <w:b/>
              </w:rPr>
            </w:pPr>
            <w:r>
              <w:rPr>
                <w:b/>
              </w:rPr>
              <w:t>Shares</w:t>
            </w:r>
          </w:p>
          <w:p>
            <w:pPr>
              <w:pStyle w:val="TableContents"/>
              <w:bidi w:val="0"/>
              <w:spacing w:before="0" w:after="0"/>
              <w:jc w:val="center"/>
              <w:rPr>
                <w:b/>
              </w:rPr>
            </w:pPr>
            <w:r>
              <w:rPr>
                <w:b/>
              </w:rPr>
              <w:t>Outstanding</w:t>
            </w:r>
          </w:p>
          <w:p>
            <w:pPr>
              <w:pStyle w:val="TableContents"/>
              <w:bidi w:val="0"/>
              <w:spacing w:before="0" w:after="0"/>
              <w:jc w:val="center"/>
              <w:rPr>
                <w:b/>
              </w:rPr>
            </w:pPr>
            <w:r>
              <w:rPr>
                <w:b/>
              </w:rPr>
              <w:t xml:space="preserve">(in </w:t>
            </w:r>
          </w:p>
          <w:p>
            <w:pPr>
              <w:pStyle w:val="TableContents"/>
              <w:bidi w:val="0"/>
              <w:spacing w:before="0" w:after="0"/>
              <w:jc w:val="center"/>
              <w:rPr>
                <w:b/>
              </w:rPr>
            </w:pPr>
            <w:r>
              <w:rPr>
                <w:b/>
              </w:rPr>
              <w:t>thousands)</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rPr>
            </w:pPr>
            <w:r>
              <w:rPr>
                <w:b/>
              </w:rPr>
              <w:t>Per Share</w:t>
            </w:r>
          </w:p>
          <w:p>
            <w:pPr>
              <w:pStyle w:val="TableContents"/>
              <w:bidi w:val="0"/>
              <w:spacing w:before="0" w:after="0"/>
              <w:jc w:val="center"/>
              <w:rPr>
                <w:b/>
              </w:rPr>
            </w:pPr>
            <w:r>
              <w:rPr>
                <w:b/>
              </w:rPr>
              <w:t>Amount</w:t>
            </w:r>
          </w:p>
        </w:tc>
        <w:tc>
          <w:tcPr>
            <w:tcW w:w="12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790" w:type="dxa"/>
            <w:tcBorders/>
            <w:vAlign w:val="bottom"/>
          </w:tcPr>
          <w:p>
            <w:pPr>
              <w:pStyle w:val="TableContents"/>
              <w:bidi w:val="0"/>
              <w:spacing w:before="0" w:after="0"/>
              <w:jc w:val="left"/>
              <w:rPr>
                <w:b/>
                <w:i/>
              </w:rPr>
            </w:pPr>
            <w:r>
              <w:rPr>
                <w:b/>
                <w:i/>
              </w:rPr>
              <w:t>Basic and Diluted Earnings Per Common Share</w:t>
            </w:r>
          </w:p>
        </w:tc>
        <w:tc>
          <w:tcPr>
            <w:tcW w:w="9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790" w:type="dxa"/>
            <w:tcBorders/>
            <w:shd w:fill="CCEEFF" w:val="clear"/>
            <w:vAlign w:val="bottom"/>
          </w:tcPr>
          <w:p>
            <w:pPr>
              <w:pStyle w:val="TableContents"/>
              <w:bidi w:val="0"/>
              <w:spacing w:before="0" w:after="0"/>
              <w:jc w:val="left"/>
              <w:rPr/>
            </w:pPr>
            <w:r>
              <w:rPr/>
              <w:t>Net income before preferred stock dividends</w:t>
            </w:r>
          </w:p>
        </w:tc>
        <w:tc>
          <w:tcPr>
            <w:tcW w:w="9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pPr>
            <w:r>
              <w:rPr/>
              <w:t>$</w:t>
            </w:r>
          </w:p>
        </w:tc>
        <w:tc>
          <w:tcPr>
            <w:tcW w:w="622" w:type="dxa"/>
            <w:tcBorders/>
            <w:shd w:fill="CCEEFF" w:val="clear"/>
            <w:vAlign w:val="bottom"/>
          </w:tcPr>
          <w:p>
            <w:pPr>
              <w:pStyle w:val="TableContents"/>
              <w:bidi w:val="0"/>
              <w:spacing w:before="0" w:after="0"/>
              <w:jc w:val="right"/>
              <w:rPr/>
            </w:pPr>
            <w:r>
              <w:rPr/>
              <w:t>6,017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pPr>
            <w:r>
              <w:rPr/>
              <w:t>20,398</w:t>
            </w:r>
          </w:p>
        </w:tc>
        <w:tc>
          <w:tcPr>
            <w:tcW w:w="9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4790" w:type="dxa"/>
            <w:tcBorders/>
            <w:vAlign w:val="bottom"/>
          </w:tcPr>
          <w:p>
            <w:pPr>
              <w:pStyle w:val="TableContents"/>
              <w:bidi w:val="0"/>
              <w:spacing w:before="0" w:after="0"/>
              <w:jc w:val="left"/>
              <w:rPr/>
            </w:pPr>
            <w:r>
              <w:rPr/>
              <w:t>Less preferred stock dividends</w:t>
            </w:r>
          </w:p>
        </w:tc>
        <w:tc>
          <w:tcPr>
            <w:tcW w:w="9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22" w:type="dxa"/>
            <w:tcBorders>
              <w:bottom w:val="single" w:sz="12" w:space="0" w:color="000000"/>
            </w:tcBorders>
            <w:tcMar>
              <w:bottom w:w="28" w:type="dxa"/>
            </w:tcMar>
            <w:vAlign w:val="bottom"/>
          </w:tcPr>
          <w:p>
            <w:pPr>
              <w:pStyle w:val="TableContents"/>
              <w:bidi w:val="0"/>
              <w:spacing w:before="0" w:after="0"/>
              <w:jc w:val="right"/>
              <w:rPr/>
            </w:pPr>
            <w:r>
              <w:rPr/>
              <w:t>(399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790" w:type="dxa"/>
            <w:tcBorders/>
            <w:shd w:fill="CCEEFF" w:val="clear"/>
            <w:vAlign w:val="bottom"/>
          </w:tcPr>
          <w:p>
            <w:pPr>
              <w:pStyle w:val="TableContents"/>
              <w:bidi w:val="0"/>
              <w:spacing w:before="0" w:after="0"/>
              <w:ind w:left="180" w:right="0" w:hanging="0"/>
              <w:jc w:val="left"/>
              <w:rPr/>
            </w:pPr>
            <w:r>
              <w:rPr/>
              <w:t>Net income applicable to common shareholders</w:t>
            </w:r>
          </w:p>
        </w:tc>
        <w:tc>
          <w:tcPr>
            <w:tcW w:w="9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22" w:type="dxa"/>
            <w:tcBorders>
              <w:bottom w:val="double" w:sz="8" w:space="0" w:color="000000"/>
            </w:tcBorders>
            <w:shd w:fill="CCEEFF" w:val="clear"/>
            <w:tcMar>
              <w:bottom w:w="28" w:type="dxa"/>
            </w:tcMar>
            <w:vAlign w:val="bottom"/>
          </w:tcPr>
          <w:p>
            <w:pPr>
              <w:pStyle w:val="TableContents"/>
              <w:bidi w:val="0"/>
              <w:spacing w:before="0" w:after="0"/>
              <w:jc w:val="right"/>
              <w:rPr/>
            </w:pPr>
            <w:r>
              <w:rPr/>
              <w:t>5,618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63" w:type="dxa"/>
            <w:tcBorders>
              <w:bottom w:val="double" w:sz="8" w:space="0" w:color="000000"/>
            </w:tcBorders>
            <w:shd w:fill="CCEEFF" w:val="clear"/>
            <w:tcMar>
              <w:bottom w:w="28" w:type="dxa"/>
            </w:tcMar>
            <w:vAlign w:val="bottom"/>
          </w:tcPr>
          <w:p>
            <w:pPr>
              <w:pStyle w:val="TableContents"/>
              <w:bidi w:val="0"/>
              <w:spacing w:before="0" w:after="0"/>
              <w:jc w:val="right"/>
              <w:rPr/>
            </w:pPr>
            <w:r>
              <w:rPr/>
              <w:t>20,398</w:t>
            </w:r>
          </w:p>
        </w:tc>
        <w:tc>
          <w:tcPr>
            <w:tcW w:w="90" w:type="dxa"/>
            <w:tcBorders/>
            <w:shd w:fill="CCEEFF" w:val="clear"/>
            <w:vAlign w:val="bottom"/>
          </w:tcPr>
          <w:p>
            <w:pPr>
              <w:pStyle w:val="TableContents"/>
              <w:bidi w:val="0"/>
              <w:spacing w:before="0" w:after="283"/>
              <w:jc w:val="left"/>
              <w:rPr/>
            </w:pPr>
            <w:r>
              <w:rPr/>
              <w:t> </w:t>
            </w:r>
          </w:p>
        </w:tc>
        <w:tc>
          <w:tcPr>
            <w:tcW w:w="230"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1070" w:type="dxa"/>
            <w:tcBorders>
              <w:bottom w:val="double" w:sz="8" w:space="0" w:color="000000"/>
            </w:tcBorders>
            <w:shd w:fill="CCEEFF" w:val="clear"/>
            <w:tcMar>
              <w:bottom w:w="28" w:type="dxa"/>
            </w:tcMar>
            <w:vAlign w:val="bottom"/>
          </w:tcPr>
          <w:p>
            <w:pPr>
              <w:pStyle w:val="TableContents"/>
              <w:bidi w:val="0"/>
              <w:spacing w:before="0" w:after="0"/>
              <w:jc w:val="right"/>
              <w:rPr/>
            </w:pPr>
            <w:r>
              <w:rPr/>
              <w:t>0.28</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0" w:name="z1e8696ed02dc479990e65b11ee1baa2a"/>
      <w:bookmarkStart w:id="291" w:name="z1e8696ed02dc479990e65b11ee1baa2a"/>
      <w:bookmarkEnd w:id="291"/>
    </w:p>
    <w:tbl>
      <w:tblPr>
        <w:tblW w:w="9769" w:type="dxa"/>
        <w:jc w:val="left"/>
        <w:tblInd w:w="0" w:type="dxa"/>
        <w:tblLayout w:type="fixed"/>
        <w:tblCellMar>
          <w:top w:w="0" w:type="dxa"/>
          <w:left w:w="0" w:type="dxa"/>
          <w:bottom w:w="0" w:type="dxa"/>
          <w:right w:w="0" w:type="dxa"/>
        </w:tblCellMar>
      </w:tblPr>
      <w:tblGrid>
        <w:gridCol w:w="4325"/>
        <w:gridCol w:w="142"/>
        <w:gridCol w:w="270"/>
        <w:gridCol w:w="1056"/>
        <w:gridCol w:w="198"/>
        <w:gridCol w:w="142"/>
        <w:gridCol w:w="147"/>
        <w:gridCol w:w="1163"/>
        <w:gridCol w:w="142"/>
        <w:gridCol w:w="270"/>
        <w:gridCol w:w="1699"/>
        <w:gridCol w:w="215"/>
      </w:tblGrid>
      <w:tr>
        <w:trPr/>
        <w:tc>
          <w:tcPr>
            <w:tcW w:w="4325" w:type="dxa"/>
            <w:tcBorders/>
            <w:vAlign w:val="bottom"/>
          </w:tcPr>
          <w:p>
            <w:pPr>
              <w:pStyle w:val="TableContents"/>
              <w:bidi w:val="0"/>
              <w:spacing w:before="0" w:after="283"/>
              <w:jc w:val="left"/>
              <w:rPr/>
            </w:pPr>
            <w:r>
              <w:rPr/>
              <w:t> </w:t>
            </w:r>
          </w:p>
        </w:tc>
        <w:tc>
          <w:tcPr>
            <w:tcW w:w="5229"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For the Year Ended December 31, 2024 (Restated)</w:t>
            </w:r>
          </w:p>
        </w:tc>
        <w:tc>
          <w:tcPr>
            <w:tcW w:w="215" w:type="dxa"/>
            <w:tcBorders/>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283"/>
              <w:jc w:val="left"/>
              <w:rPr/>
            </w:pPr>
            <w:r>
              <w:rPr/>
            </w:r>
          </w:p>
        </w:tc>
        <w:tc>
          <w:tcPr>
            <w:tcW w:w="142" w:type="dxa"/>
            <w:tcBorders/>
            <w:vAlign w:val="bottom"/>
          </w:tcPr>
          <w:p>
            <w:pPr>
              <w:pStyle w:val="TableContents"/>
              <w:bidi w:val="0"/>
              <w:spacing w:before="0" w:after="283"/>
              <w:jc w:val="left"/>
              <w:rPr/>
            </w:pPr>
            <w:r>
              <w:rPr/>
            </w:r>
          </w:p>
        </w:tc>
        <w:tc>
          <w:tcPr>
            <w:tcW w:w="1326" w:type="dxa"/>
            <w:gridSpan w:val="2"/>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b/>
              </w:rPr>
            </w:pPr>
            <w:r>
              <w:rPr>
                <w:b/>
              </w:rPr>
              <w:t>Loss</w:t>
            </w:r>
          </w:p>
        </w:tc>
        <w:tc>
          <w:tcPr>
            <w:tcW w:w="198" w:type="dxa"/>
            <w:tcBorders/>
            <w:vAlign w:val="bottom"/>
          </w:tcPr>
          <w:p>
            <w:pPr>
              <w:pStyle w:val="TableContents"/>
              <w:bidi w:val="0"/>
              <w:spacing w:before="0" w:after="283"/>
              <w:jc w:val="left"/>
              <w:rPr/>
            </w:pPr>
            <w:r>
              <w:rPr/>
            </w:r>
          </w:p>
        </w:tc>
        <w:tc>
          <w:tcPr>
            <w:tcW w:w="142"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 xml:space="preserve">Average </w:t>
            </w:r>
          </w:p>
          <w:p>
            <w:pPr>
              <w:pStyle w:val="TableContents"/>
              <w:bidi w:val="0"/>
              <w:spacing w:before="0" w:after="0"/>
              <w:jc w:val="center"/>
              <w:rPr>
                <w:b/>
              </w:rPr>
            </w:pPr>
            <w:r>
              <w:rPr>
                <w:b/>
              </w:rPr>
              <w:t>Shares</w:t>
            </w:r>
          </w:p>
          <w:p>
            <w:pPr>
              <w:pStyle w:val="TableContents"/>
              <w:bidi w:val="0"/>
              <w:spacing w:before="0" w:after="0"/>
              <w:jc w:val="center"/>
              <w:rPr>
                <w:b/>
              </w:rPr>
            </w:pPr>
            <w:r>
              <w:rPr>
                <w:b/>
              </w:rPr>
              <w:t>Outstanding</w:t>
            </w:r>
          </w:p>
          <w:p>
            <w:pPr>
              <w:pStyle w:val="TableContents"/>
              <w:bidi w:val="0"/>
              <w:spacing w:before="0" w:after="0"/>
              <w:jc w:val="center"/>
              <w:rPr>
                <w:b/>
              </w:rPr>
            </w:pPr>
            <w:r>
              <w:rPr>
                <w:b/>
              </w:rPr>
              <w:t xml:space="preserve">(in </w:t>
            </w:r>
          </w:p>
          <w:p>
            <w:pPr>
              <w:pStyle w:val="TableContents"/>
              <w:bidi w:val="0"/>
              <w:spacing w:before="0" w:after="0"/>
              <w:jc w:val="center"/>
              <w:rPr>
                <w:b/>
              </w:rPr>
            </w:pPr>
            <w:r>
              <w:rPr>
                <w:b/>
              </w:rPr>
              <w:t>thousands)</w:t>
            </w:r>
          </w:p>
        </w:tc>
        <w:tc>
          <w:tcPr>
            <w:tcW w:w="1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699" w:type="dxa"/>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b/>
              </w:rPr>
            </w:pPr>
            <w:r>
              <w:rPr>
                <w:b/>
              </w:rPr>
              <w:t>Per Share</w:t>
            </w:r>
          </w:p>
          <w:p>
            <w:pPr>
              <w:pStyle w:val="TableContents"/>
              <w:bidi w:val="0"/>
              <w:spacing w:before="0" w:after="0"/>
              <w:jc w:val="center"/>
              <w:rPr>
                <w:b/>
              </w:rPr>
            </w:pPr>
            <w:r>
              <w:rPr>
                <w:b/>
              </w:rPr>
              <w:t>Amount</w:t>
            </w:r>
          </w:p>
        </w:tc>
        <w:tc>
          <w:tcPr>
            <w:tcW w:w="215" w:type="dxa"/>
            <w:tcBorders/>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jc w:val="left"/>
              <w:rPr>
                <w:b/>
                <w:i/>
              </w:rPr>
            </w:pPr>
            <w:r>
              <w:rPr>
                <w:b/>
                <w:i/>
              </w:rPr>
              <w:t>Basic and Diluted Loss Per Common Share</w:t>
            </w:r>
          </w:p>
        </w:tc>
        <w:tc>
          <w:tcPr>
            <w:tcW w:w="142"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jc w:val="left"/>
              <w:rPr/>
            </w:pPr>
            <w:r>
              <w:rPr/>
              <w:t>Net loss before preferred stock dividends</w:t>
            </w:r>
          </w:p>
        </w:tc>
        <w:tc>
          <w:tcPr>
            <w:tcW w:w="142"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0"/>
              <w:jc w:val="left"/>
              <w:rPr/>
            </w:pPr>
            <w:r>
              <w:rPr/>
              <w:t>$</w:t>
            </w:r>
          </w:p>
        </w:tc>
        <w:tc>
          <w:tcPr>
            <w:tcW w:w="1056" w:type="dxa"/>
            <w:tcBorders/>
            <w:shd w:fill="CCEEFF" w:val="clear"/>
            <w:vAlign w:val="bottom"/>
          </w:tcPr>
          <w:p>
            <w:pPr>
              <w:pStyle w:val="TableContents"/>
              <w:bidi w:val="0"/>
              <w:spacing w:before="0" w:after="0"/>
              <w:jc w:val="right"/>
              <w:rPr/>
            </w:pPr>
            <w:r>
              <w:rPr/>
              <w:t>(1,393</w:t>
            </w:r>
          </w:p>
        </w:tc>
        <w:tc>
          <w:tcPr>
            <w:tcW w:w="198" w:type="dxa"/>
            <w:tcBorders/>
            <w:shd w:fill="CCEEFF" w:val="clear"/>
            <w:vAlign w:val="bottom"/>
          </w:tcPr>
          <w:p>
            <w:pPr>
              <w:pStyle w:val="TableContents"/>
              <w:bidi w:val="0"/>
              <w:spacing w:before="0" w:after="0"/>
              <w:jc w:val="left"/>
              <w:rPr/>
            </w:pPr>
            <w:r>
              <w:rPr/>
              <w:t>)</w:t>
            </w:r>
          </w:p>
        </w:tc>
        <w:tc>
          <w:tcPr>
            <w:tcW w:w="14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pPr>
            <w:r>
              <w:rPr/>
              <w:t>20,400</w:t>
            </w:r>
          </w:p>
        </w:tc>
        <w:tc>
          <w:tcPr>
            <w:tcW w:w="142"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699"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jc w:val="left"/>
              <w:rPr/>
            </w:pPr>
            <w:r>
              <w:rPr/>
              <w:t>Less preferred stock dividends</w:t>
            </w:r>
          </w:p>
        </w:tc>
        <w:tc>
          <w:tcPr>
            <w:tcW w:w="142" w:type="dxa"/>
            <w:tcBorders/>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0"/>
              <w:jc w:val="right"/>
              <w:rPr/>
            </w:pPr>
            <w:r>
              <w:rPr/>
              <w:t>(399</w:t>
            </w:r>
          </w:p>
        </w:tc>
        <w:tc>
          <w:tcPr>
            <w:tcW w:w="198" w:type="dxa"/>
            <w:tcBorders/>
            <w:vAlign w:val="bottom"/>
          </w:tcPr>
          <w:p>
            <w:pPr>
              <w:pStyle w:val="TableContents"/>
              <w:bidi w:val="0"/>
              <w:spacing w:before="0" w:after="0"/>
              <w:jc w:val="left"/>
              <w:rPr/>
            </w:pPr>
            <w:r>
              <w:rPr/>
              <w:t>)</w:t>
            </w:r>
          </w:p>
        </w:tc>
        <w:tc>
          <w:tcPr>
            <w:tcW w:w="142"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pPr>
            <w:r>
              <w:rPr/>
              <w:t>-</w:t>
            </w:r>
          </w:p>
        </w:tc>
        <w:tc>
          <w:tcPr>
            <w:tcW w:w="1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80" w:right="0" w:hanging="0"/>
              <w:jc w:val="left"/>
              <w:rPr/>
            </w:pPr>
            <w:r>
              <w:rPr/>
              <w:t>Net loss applicable to common shareholders</w:t>
            </w:r>
          </w:p>
        </w:tc>
        <w:tc>
          <w:tcPr>
            <w:tcW w:w="142" w:type="dxa"/>
            <w:tcBorders/>
            <w:shd w:fill="CCEEFF" w:val="clear"/>
            <w:vAlign w:val="bottom"/>
          </w:tcPr>
          <w:p>
            <w:pPr>
              <w:pStyle w:val="TableContents"/>
              <w:bidi w:val="0"/>
              <w:spacing w:before="0" w:after="283"/>
              <w:jc w:val="left"/>
              <w:rPr/>
            </w:pPr>
            <w:r>
              <w:rPr/>
              <w:t> </w:t>
            </w:r>
          </w:p>
        </w:tc>
        <w:tc>
          <w:tcPr>
            <w:tcW w:w="2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56" w:type="dxa"/>
            <w:tcBorders>
              <w:bottom w:val="double" w:sz="8" w:space="0" w:color="000000"/>
            </w:tcBorders>
            <w:shd w:fill="CCEEFF" w:val="clear"/>
            <w:tcMar>
              <w:bottom w:w="28" w:type="dxa"/>
            </w:tcMar>
            <w:vAlign w:val="bottom"/>
          </w:tcPr>
          <w:p>
            <w:pPr>
              <w:pStyle w:val="TableContents"/>
              <w:bidi w:val="0"/>
              <w:spacing w:before="0" w:after="0"/>
              <w:jc w:val="right"/>
              <w:rPr/>
            </w:pPr>
            <w:r>
              <w:rPr/>
              <w:t>(1,792</w:t>
            </w:r>
          </w:p>
        </w:tc>
        <w:tc>
          <w:tcPr>
            <w:tcW w:w="198" w:type="dxa"/>
            <w:tcBorders/>
            <w:shd w:fill="CCEEFF" w:val="clear"/>
            <w:vAlign w:val="bottom"/>
          </w:tcPr>
          <w:p>
            <w:pPr>
              <w:pStyle w:val="TableContents"/>
              <w:bidi w:val="0"/>
              <w:spacing w:before="0" w:after="0"/>
              <w:jc w:val="left"/>
              <w:rPr/>
            </w:pPr>
            <w:r>
              <w:rPr/>
              <w:t>)</w:t>
            </w:r>
          </w:p>
        </w:tc>
        <w:tc>
          <w:tcPr>
            <w:tcW w:w="142"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63" w:type="dxa"/>
            <w:tcBorders>
              <w:bottom w:val="double" w:sz="8" w:space="0" w:color="000000"/>
            </w:tcBorders>
            <w:shd w:fill="CCEEFF" w:val="clear"/>
            <w:tcMar>
              <w:bottom w:w="28" w:type="dxa"/>
            </w:tcMar>
            <w:vAlign w:val="bottom"/>
          </w:tcPr>
          <w:p>
            <w:pPr>
              <w:pStyle w:val="TableContents"/>
              <w:bidi w:val="0"/>
              <w:spacing w:before="0" w:after="0"/>
              <w:jc w:val="right"/>
              <w:rPr/>
            </w:pPr>
            <w:r>
              <w:rPr/>
              <w:t>20,400</w:t>
            </w:r>
          </w:p>
        </w:tc>
        <w:tc>
          <w:tcPr>
            <w:tcW w:w="142" w:type="dxa"/>
            <w:tcBorders/>
            <w:shd w:fill="CCEEFF" w:val="clear"/>
            <w:vAlign w:val="bottom"/>
          </w:tcPr>
          <w:p>
            <w:pPr>
              <w:pStyle w:val="TableContents"/>
              <w:bidi w:val="0"/>
              <w:spacing w:before="0" w:after="283"/>
              <w:jc w:val="left"/>
              <w:rPr/>
            </w:pPr>
            <w:r>
              <w:rPr/>
              <w:t> </w:t>
            </w:r>
          </w:p>
        </w:tc>
        <w:tc>
          <w:tcPr>
            <w:tcW w:w="2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699" w:type="dxa"/>
            <w:tcBorders>
              <w:bottom w:val="double" w:sz="8" w:space="0" w:color="000000"/>
            </w:tcBorders>
            <w:shd w:fill="CCEEFF" w:val="clear"/>
            <w:tcMar>
              <w:bottom w:w="28" w:type="dxa"/>
            </w:tcMar>
            <w:vAlign w:val="bottom"/>
          </w:tcPr>
          <w:p>
            <w:pPr>
              <w:pStyle w:val="TableContents"/>
              <w:bidi w:val="0"/>
              <w:spacing w:before="0" w:after="0"/>
              <w:jc w:val="right"/>
              <w:rPr/>
            </w:pPr>
            <w:r>
              <w:rPr/>
              <w:t>(0.09</w:t>
            </w:r>
          </w:p>
        </w:tc>
        <w:tc>
          <w:tcPr>
            <w:tcW w:w="21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assumed conversion of the Company’s Series D Preferred Stock was excluded from the earnings per common share calculation for 2025 and 2024 since its impact would have been antidilutive.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Note 16. Statutory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assets, liabilities and results of operations have been reported on the basis of GAAP, which varies in some respects from statutory accounting practices (“SAP”) prescribed or permitted by insurance regulatory authorities. The principal differences between SAP and GAAP are that under SAP: (i) carrying value of certain investments differ on a GAAP versus SAP basis, such as fixed maturity securities that are shown at amortized cost for SAP versus fair value for GAAP; (ii) certain assets that are non-admitted assets are eliminated from the balance sheet; (iii) acquisition costs for policies are expensed as incurred, while they are deferred and amortized over the estimated life of the policies under GAAP; (iv) the provision that is made for deferred income taxes is different than under GAAP; (v) the timing and methodology of establishing certain reserves is different than under GAAP; (vi) reinsurance is shown net on balance sheet for SAP; and (vii) certain valuation allowances attributable to certain investments are required under SAP such as asset valuation reserve and interest maintenance reserve.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meets the minimum capital requirements in the states in which it does business. The amount of reported statutory net income and capital and surplus (shareholders’ equity) for the Parent’s insurance subsidiaries as filed in the annual statements with the state insurance departments for the years ended December 31, 2025 and 2024 was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2" w:name="z7bac95e23c304b70a6ea708718ae8ca0"/>
      <w:bookmarkStart w:id="293" w:name="z7bac95e23c304b70a6ea708718ae8ca0"/>
      <w:bookmarkEnd w:id="293"/>
    </w:p>
    <w:tbl>
      <w:tblPr>
        <w:tblW w:w="5950" w:type="dxa"/>
        <w:jc w:val="left"/>
        <w:tblInd w:w="0" w:type="dxa"/>
        <w:tblLayout w:type="fixed"/>
        <w:tblCellMar>
          <w:top w:w="0" w:type="dxa"/>
          <w:left w:w="0" w:type="dxa"/>
          <w:bottom w:w="0" w:type="dxa"/>
          <w:right w:w="0" w:type="dxa"/>
        </w:tblCellMar>
      </w:tblPr>
      <w:tblGrid>
        <w:gridCol w:w="3785"/>
        <w:gridCol w:w="90"/>
        <w:gridCol w:w="170"/>
        <w:gridCol w:w="710"/>
        <w:gridCol w:w="90"/>
        <w:gridCol w:w="90"/>
        <w:gridCol w:w="170"/>
        <w:gridCol w:w="710"/>
        <w:gridCol w:w="135"/>
      </w:tblGrid>
      <w:tr>
        <w:trPr/>
        <w:tc>
          <w:tcPr>
            <w:tcW w:w="37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3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jc w:val="left"/>
              <w:rPr/>
            </w:pPr>
            <w:r>
              <w:rPr/>
              <w:t>Bankers Fidelity,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1,359</w:t>
            </w:r>
          </w:p>
        </w:tc>
        <w:tc>
          <w:tcPr>
            <w:tcW w:w="13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0"/>
              <w:jc w:val="left"/>
              <w:rPr/>
            </w:pPr>
            <w:r>
              <w:rPr/>
              <w:t>American Southern, net income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3,814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1,442</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ind w:left="180" w:right="0" w:hanging="0"/>
              <w:jc w:val="left"/>
              <w:rPr/>
            </w:pPr>
            <w:r>
              <w:rPr/>
              <w:t>Statutory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10,760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2,801</w:t>
            </w:r>
          </w:p>
        </w:tc>
        <w:tc>
          <w:tcPr>
            <w:tcW w:w="13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jc w:val="left"/>
              <w:rPr/>
            </w:pPr>
            <w:r>
              <w:rPr/>
              <w:t>Bankers Fidelity,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34,393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32,443</w:t>
            </w:r>
          </w:p>
        </w:tc>
        <w:tc>
          <w:tcPr>
            <w:tcW w:w="13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0"/>
              <w:jc w:val="left"/>
              <w:rPr/>
            </w:pPr>
            <w:r>
              <w:rPr/>
              <w:t>American Southern, capital and surplus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48,688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47,670</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ind w:left="180" w:right="0" w:hanging="0"/>
              <w:jc w:val="left"/>
              <w:rPr/>
            </w:pPr>
            <w:r>
              <w:rPr/>
              <w:t>Statutory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83,081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80,113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the insurance code of the state in which each insurance subsidiary is domiciled, dividend payments to the Parent by its insurance subsidiaries are subject to certain limitations without the prior approval of the applicable state’s Insurance Commissioner. The Parent received dividends of $8,400 and $9,000 in the years ended 2025 and 2024, respectively, from its subsidiaries. In 2026, dividend payments to the Parent by the insurance subsidiaries in excess of $8,058 would require prior approval.</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17. Related Party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the normal course of business the Company has engaged in transactions with entities affiliated with the controlling shareholder of the Company. These transactions include the leasing of office space, certain investing and financing activities, as well as inconsequential administrative and consulting services. At December 31, 2025, two members of the Company’s board of directors, including the Company’s Chairman, President and Chief Executive Officer, were considered to be affiliates of the majority shareholder.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leases approximately 49,586 square feet of office and covered garage space from one such controlled entity, 4370 Peachtree LLC. During the years ended December 31, 2025 and 2024, the Company paid $1,352 and $1,153, respectively, under this lease.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December 26, 2024, the Company and its subsidiary, Bankers Fidelity Life Insurance Company, entered into a Second Amendment to Lease Agreement (the “Second Amendment”) with 4370 Peachtree LLC. The Second Amendment amends the Lease Agreement, dated November 1, 2007, by and among the same parties (as previously amended, the “Lease Agreement”), pursuant to which the Company leases space for its principal offices and for some of its insurance operations in an office building located in Atlanta, Georgia. Pursuant to the Second Amendment, the Lease Agreement was modified to increase the base rent payable by the Company, beginning January 1, 2025. The Second Amendment also provides for rent adjustment on January 1, 2027, January 1, 2030 and each five years thereafter.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financing for the Company has also been provided by an entity affiliated with the controlling shareholder of the Company in the form of an investment in the Series D Preferred Stock (See Note 14). During the years ended December 31, 2025 and 2024, the Company paid this entity $399 in dividends on the Series D Preferred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members of the Company’s management and board of directors are shareholders and on the board of directors of Gray Media, Inc. (“Gray”). As of December 31, 2025 and 2024, the Company owned 880,272 shares of Gray Class A common stock and 106,000 shares of Gray common stock. The aggregate carrying value of these investments in Gray at December 31, 2025 and 2024 was $11,076 and $6,751,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each of the years ended December 31, 2025 and 2024, Gray paid the Company approximately $2,119 and $2,173 in insurance premiums related to certain voluntary employee benefit plans.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18. Segment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Parent’s primary insurance subsidiaries operate with relative autonomy and each company is evaluated based on its individual performance. American Southern operates in the property and casualty insurance market, while Bankers Fidelity operates in the life and health insurance market. Each segment derives revenue from the collection of premiums, as well as from investment income. The Company’s strategy is to focus on well-defined geographic, demographic and/or product niches within the insurance marketplace. Substantially all revenue other than that in the corporate and other segment is from external sources.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Chief Operating Decision Maker (“CODM”) is the Company’s Chairman, President and Chief Executive Officer. The segment’s most significant expenses include insurance benefits and losses incurred and other expenses, such as commissions and underwriting. Interest expense at the segment level is insignificant. To assess proﬁtability on a reportable segment basis, the CODM reviews income (loss) before income taxes.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4" w:name="z8cb3019966e84fef8ab4c0021c32e145"/>
      <w:bookmarkStart w:id="295" w:name="z8cb3019966e84fef8ab4c0021c32e145"/>
      <w:bookmarkEnd w:id="295"/>
    </w:p>
    <w:tbl>
      <w:tblPr>
        <w:tblW w:w="10205" w:type="dxa"/>
        <w:jc w:val="left"/>
        <w:tblInd w:w="0" w:type="dxa"/>
        <w:tblLayout w:type="fixed"/>
        <w:tblCellMar>
          <w:top w:w="0" w:type="dxa"/>
          <w:left w:w="0" w:type="dxa"/>
          <w:bottom w:w="0" w:type="dxa"/>
          <w:right w:w="0" w:type="dxa"/>
        </w:tblCellMar>
      </w:tblPr>
      <w:tblGrid>
        <w:gridCol w:w="2840"/>
        <w:gridCol w:w="90"/>
        <w:gridCol w:w="184"/>
        <w:gridCol w:w="902"/>
        <w:gridCol w:w="125"/>
        <w:gridCol w:w="90"/>
        <w:gridCol w:w="170"/>
        <w:gridCol w:w="830"/>
        <w:gridCol w:w="125"/>
        <w:gridCol w:w="90"/>
        <w:gridCol w:w="194"/>
        <w:gridCol w:w="952"/>
        <w:gridCol w:w="125"/>
        <w:gridCol w:w="90"/>
        <w:gridCol w:w="259"/>
        <w:gridCol w:w="1381"/>
        <w:gridCol w:w="125"/>
        <w:gridCol w:w="90"/>
        <w:gridCol w:w="235"/>
        <w:gridCol w:w="1150"/>
        <w:gridCol w:w="158"/>
      </w:tblGrid>
      <w:tr>
        <w:trPr/>
        <w:tc>
          <w:tcPr>
            <w:tcW w:w="2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17" w:type="dxa"/>
            <w:gridSpan w:val="18"/>
            <w:tcBorders>
              <w:bottom w:val="single" w:sz="12" w:space="0" w:color="000000"/>
            </w:tcBorders>
            <w:tcMar>
              <w:bottom w:w="28" w:type="dxa"/>
            </w:tcMar>
            <w:vAlign w:val="bottom"/>
          </w:tcPr>
          <w:p>
            <w:pPr>
              <w:pStyle w:val="TableContents"/>
              <w:bidi w:val="0"/>
              <w:spacing w:before="0" w:after="283"/>
              <w:jc w:val="center"/>
              <w:rPr>
                <w:b/>
                <w:i w:val="false"/>
                <w:caps w:val="false"/>
                <w:smallCaps w:val="false"/>
              </w:rPr>
            </w:pPr>
            <w:r>
              <w:rPr>
                <w:b/>
                <w:i w:val="false"/>
                <w:caps w:val="false"/>
                <w:smallCaps w:val="false"/>
              </w:rPr>
              <w:t>For the Year Ended December 31, 2025</w:t>
            </w:r>
          </w:p>
        </w:tc>
        <w:tc>
          <w:tcPr>
            <w:tcW w:w="158"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American </w:t>
            </w:r>
          </w:p>
          <w:p>
            <w:pPr>
              <w:pStyle w:val="TableContents"/>
              <w:bidi w:val="0"/>
              <w:spacing w:before="0" w:after="0"/>
              <w:jc w:val="center"/>
              <w:rPr>
                <w:b/>
              </w:rPr>
            </w:pPr>
            <w:r>
              <w:rPr>
                <w:b/>
              </w:rP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Bankers </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Corporate </w:t>
            </w:r>
          </w:p>
          <w:p>
            <w:pPr>
              <w:pStyle w:val="TableContents"/>
              <w:bidi w:val="0"/>
              <w:spacing w:before="0" w:after="0"/>
              <w:jc w:val="center"/>
              <w:rPr>
                <w:b/>
              </w:rPr>
            </w:pPr>
            <w:r>
              <w:rPr>
                <w:b/>
              </w:rPr>
              <w:t>&amp; Other</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Adjustments </w:t>
            </w:r>
          </w:p>
          <w:p>
            <w:pPr>
              <w:pStyle w:val="TableContents"/>
              <w:bidi w:val="0"/>
              <w:spacing w:before="0" w:after="0"/>
              <w:jc w:val="center"/>
              <w:rPr/>
            </w:pPr>
            <w:r>
              <w:rPr/>
              <w:t> </w:t>
            </w:r>
            <w:r>
              <w:rPr>
                <w:b/>
              </w:rPr>
              <w:t>&amp; Eliminations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Consolidated</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Insurance premiums, net</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2" w:type="dxa"/>
            <w:tcBorders>
              <w:bottom w:val="single" w:sz="12" w:space="0" w:color="000000"/>
            </w:tcBorders>
            <w:shd w:fill="CCEEFF" w:val="clear"/>
            <w:tcMar>
              <w:bottom w:w="28" w:type="dxa"/>
            </w:tcMar>
            <w:vAlign w:val="bottom"/>
          </w:tcPr>
          <w:p>
            <w:pPr>
              <w:pStyle w:val="TableContents"/>
              <w:bidi w:val="0"/>
              <w:spacing w:before="0" w:after="0"/>
              <w:jc w:val="right"/>
              <w:rPr/>
            </w:pPr>
            <w:r>
              <w:rPr/>
              <w:t>84,504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111,638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38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196,142</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Insurance benefits and losses incurred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65,254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72,287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137,541</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Future policy benefit remeasurement gain</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(4,866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(4,866</w:t>
            </w:r>
          </w:p>
        </w:tc>
        <w:tc>
          <w:tcPr>
            <w:tcW w:w="158" w:type="dxa"/>
            <w:tcBorders/>
            <w:shd w:fill="CCEEFF" w:val="clear"/>
            <w:vAlign w:val="bottom"/>
          </w:tcPr>
          <w:p>
            <w:pPr>
              <w:pStyle w:val="TableContents"/>
              <w:bidi w:val="0"/>
              <w:spacing w:before="0" w:after="0"/>
              <w:jc w:val="left"/>
              <w:rPr/>
            </w:pPr>
            <w:r>
              <w:rPr/>
              <w:t>)</w:t>
            </w:r>
          </w:p>
        </w:tc>
      </w:tr>
      <w:tr>
        <w:trPr/>
        <w:tc>
          <w:tcPr>
            <w:tcW w:w="2840" w:type="dxa"/>
            <w:tcBorders/>
            <w:vAlign w:val="bottom"/>
          </w:tcPr>
          <w:p>
            <w:pPr>
              <w:pStyle w:val="TableContents"/>
              <w:bidi w:val="0"/>
              <w:spacing w:before="0" w:after="0"/>
              <w:jc w:val="left"/>
              <w:rPr/>
            </w:pPr>
            <w:r>
              <w:rPr/>
              <w:t>Expenses deferred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(9,634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(10,298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(19,932</w:t>
            </w:r>
          </w:p>
        </w:tc>
        <w:tc>
          <w:tcPr>
            <w:tcW w:w="158" w:type="dxa"/>
            <w:tcBorders/>
            <w:vAlign w:val="bottom"/>
          </w:tcPr>
          <w:p>
            <w:pPr>
              <w:pStyle w:val="TableContents"/>
              <w:bidi w:val="0"/>
              <w:spacing w:before="0" w:after="0"/>
              <w:jc w:val="left"/>
              <w:rPr/>
            </w:pPr>
            <w:r>
              <w:rPr/>
              <w:t>)</w:t>
            </w:r>
          </w:p>
        </w:tc>
      </w:tr>
      <w:tr>
        <w:trPr/>
        <w:tc>
          <w:tcPr>
            <w:tcW w:w="2840" w:type="dxa"/>
            <w:tcBorders/>
            <w:shd w:fill="CCEEFF" w:val="clear"/>
            <w:vAlign w:val="bottom"/>
          </w:tcPr>
          <w:p>
            <w:pPr>
              <w:pStyle w:val="TableContents"/>
              <w:bidi w:val="0"/>
              <w:spacing w:before="0" w:after="0"/>
              <w:jc w:val="left"/>
              <w:rPr/>
            </w:pPr>
            <w:r>
              <w:rPr/>
              <w:t>Amortization and depreciation expense</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10,108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3,058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13,255</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Other expenses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tcMar>
              <w:bottom w:w="28" w:type="dxa"/>
            </w:tcMar>
            <w:vAlign w:val="bottom"/>
          </w:tcPr>
          <w:p>
            <w:pPr>
              <w:pStyle w:val="TableContents"/>
              <w:bidi w:val="0"/>
              <w:spacing w:before="0" w:after="0"/>
              <w:jc w:val="right"/>
              <w:rPr/>
            </w:pPr>
            <w:r>
              <w:rPr/>
              <w:t>18,032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48,644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pPr>
            <w:r>
              <w:rPr/>
              <w:t>22,961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tcMar>
              <w:bottom w:w="28" w:type="dxa"/>
            </w:tcMar>
            <w:vAlign w:val="bottom"/>
          </w:tcPr>
          <w:p>
            <w:pPr>
              <w:pStyle w:val="TableContents"/>
              <w:bidi w:val="0"/>
              <w:spacing w:before="0" w:after="0"/>
              <w:jc w:val="right"/>
              <w:rPr/>
            </w:pPr>
            <w:r>
              <w:rPr/>
              <w:t>(12,916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76,721</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expenses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bottom"/>
          </w:tcPr>
          <w:p>
            <w:pPr>
              <w:pStyle w:val="TableContents"/>
              <w:bidi w:val="0"/>
              <w:spacing w:before="0" w:after="0"/>
              <w:jc w:val="right"/>
              <w:rPr/>
            </w:pPr>
            <w:r>
              <w:rPr/>
              <w:t>83,760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108,825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pPr>
            <w:r>
              <w:rPr/>
              <w:t>23,050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bottom"/>
          </w:tcPr>
          <w:p>
            <w:pPr>
              <w:pStyle w:val="TableContents"/>
              <w:bidi w:val="0"/>
              <w:spacing w:before="0" w:after="0"/>
              <w:jc w:val="right"/>
              <w:rPr/>
            </w:pPr>
            <w:r>
              <w:rPr/>
              <w:t>(12,916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202,719</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Underwriting income (loss)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744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2,813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3,557</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Net investment income (loss)</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4,357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5,818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3,314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(3,223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10,266</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Other income (loss)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tcMar>
              <w:bottom w:w="28" w:type="dxa"/>
            </w:tcMar>
            <w:vAlign w:val="bottom"/>
          </w:tcPr>
          <w:p>
            <w:pPr>
              <w:pStyle w:val="TableContents"/>
              <w:bidi w:val="0"/>
              <w:spacing w:before="0" w:after="0"/>
              <w:jc w:val="right"/>
              <w:rPr/>
            </w:pPr>
            <w:r>
              <w:rPr/>
              <w:t>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pPr>
            <w:r>
              <w:rPr/>
              <w:t>9,695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tcMar>
              <w:bottom w:w="28" w:type="dxa"/>
            </w:tcMar>
            <w:vAlign w:val="bottom"/>
          </w:tcPr>
          <w:p>
            <w:pPr>
              <w:pStyle w:val="TableContents"/>
              <w:bidi w:val="0"/>
              <w:spacing w:before="0" w:after="0"/>
              <w:jc w:val="right"/>
              <w:rPr/>
            </w:pPr>
            <w:r>
              <w:rPr/>
              <w:t>(9,693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12</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Subtotal</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5,108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8,634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(10,041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3,701</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Net realized gains (losses)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(475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(471</w:t>
            </w:r>
          </w:p>
        </w:tc>
        <w:tc>
          <w:tcPr>
            <w:tcW w:w="158" w:type="dxa"/>
            <w:tcBorders/>
            <w:vAlign w:val="bottom"/>
          </w:tcPr>
          <w:p>
            <w:pPr>
              <w:pStyle w:val="TableContents"/>
              <w:bidi w:val="0"/>
              <w:spacing w:before="0" w:after="0"/>
              <w:jc w:val="left"/>
              <w:rPr/>
            </w:pPr>
            <w:r>
              <w:rPr/>
              <w:t>)</w:t>
            </w:r>
          </w:p>
        </w:tc>
      </w:tr>
      <w:tr>
        <w:trPr/>
        <w:tc>
          <w:tcPr>
            <w:tcW w:w="2840" w:type="dxa"/>
            <w:tcBorders/>
            <w:shd w:fill="CCEEFF" w:val="clear"/>
            <w:vAlign w:val="bottom"/>
          </w:tcPr>
          <w:p>
            <w:pPr>
              <w:pStyle w:val="TableContents"/>
              <w:bidi w:val="0"/>
              <w:spacing w:before="0" w:after="0"/>
              <w:jc w:val="left"/>
              <w:rPr/>
            </w:pPr>
            <w:r>
              <w:rPr/>
              <w:t>Unrealized gains on equity securities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bottom"/>
          </w:tcPr>
          <w:p>
            <w:pPr>
              <w:pStyle w:val="TableContents"/>
              <w:bidi w:val="0"/>
              <w:spacing w:before="0" w:after="0"/>
              <w:jc w:val="right"/>
              <w:rPr/>
            </w:pPr>
            <w:r>
              <w:rPr/>
              <w:t>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4,238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pPr>
            <w:r>
              <w:rPr/>
              <w:t>168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4,491</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Income (loss) before income taxes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2" w:type="dxa"/>
            <w:tcBorders>
              <w:bottom w:val="double" w:sz="8" w:space="0" w:color="000000"/>
            </w:tcBorders>
            <w:tcMar>
              <w:bottom w:w="28" w:type="dxa"/>
            </w:tcMar>
            <w:vAlign w:val="bottom"/>
          </w:tcPr>
          <w:p>
            <w:pPr>
              <w:pStyle w:val="TableContents"/>
              <w:bidi w:val="0"/>
              <w:spacing w:before="0" w:after="0"/>
              <w:jc w:val="right"/>
              <w:rPr/>
            </w:pPr>
            <w:r>
              <w:rPr/>
              <w:t>4,718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12,876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2" w:type="dxa"/>
            <w:tcBorders>
              <w:bottom w:val="double" w:sz="8" w:space="0" w:color="000000"/>
            </w:tcBorders>
            <w:tcMar>
              <w:bottom w:w="28" w:type="dxa"/>
            </w:tcMar>
            <w:vAlign w:val="bottom"/>
          </w:tcPr>
          <w:p>
            <w:pPr>
              <w:pStyle w:val="TableContents"/>
              <w:bidi w:val="0"/>
              <w:spacing w:before="0" w:after="0"/>
              <w:jc w:val="right"/>
              <w:rPr/>
            </w:pPr>
            <w:r>
              <w:rPr/>
              <w:t>(9,873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pPr>
            <w:r>
              <w:rPr/>
              <w:t>$</w:t>
            </w:r>
          </w:p>
        </w:tc>
        <w:tc>
          <w:tcPr>
            <w:tcW w:w="138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7,721</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revenues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2" w:type="dxa"/>
            <w:tcBorders>
              <w:bottom w:val="double" w:sz="8" w:space="0" w:color="000000"/>
            </w:tcBorders>
            <w:shd w:fill="CCEEFF" w:val="clear"/>
            <w:tcMar>
              <w:bottom w:w="28" w:type="dxa"/>
            </w:tcMar>
            <w:vAlign w:val="bottom"/>
          </w:tcPr>
          <w:p>
            <w:pPr>
              <w:pStyle w:val="TableContents"/>
              <w:bidi w:val="0"/>
              <w:spacing w:before="0" w:after="0"/>
              <w:jc w:val="right"/>
              <w:rPr/>
            </w:pPr>
            <w:r>
              <w:rPr/>
              <w:t>88,478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121,701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2" w:type="dxa"/>
            <w:tcBorders>
              <w:bottom w:val="double" w:sz="8" w:space="0" w:color="000000"/>
            </w:tcBorders>
            <w:shd w:fill="CCEEFF" w:val="clear"/>
            <w:tcMar>
              <w:bottom w:w="28" w:type="dxa"/>
            </w:tcMar>
            <w:vAlign w:val="bottom"/>
          </w:tcPr>
          <w:p>
            <w:pPr>
              <w:pStyle w:val="TableContents"/>
              <w:bidi w:val="0"/>
              <w:spacing w:before="0" w:after="0"/>
              <w:jc w:val="right"/>
              <w:rPr/>
            </w:pPr>
            <w:r>
              <w:rPr/>
              <w:t>13,177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81" w:type="dxa"/>
            <w:tcBorders>
              <w:bottom w:val="double" w:sz="8" w:space="0" w:color="000000"/>
            </w:tcBorders>
            <w:shd w:fill="CCEEFF" w:val="clear"/>
            <w:tcMar>
              <w:bottom w:w="28" w:type="dxa"/>
            </w:tcMar>
            <w:vAlign w:val="bottom"/>
          </w:tcPr>
          <w:p>
            <w:pPr>
              <w:pStyle w:val="TableContents"/>
              <w:bidi w:val="0"/>
              <w:spacing w:before="0" w:after="0"/>
              <w:jc w:val="right"/>
              <w:rPr/>
            </w:pPr>
            <w:r>
              <w:rPr/>
              <w:t>(12,916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pPr>
            <w:r>
              <w:rPr/>
              <w:t>210,440</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Intangibles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2" w:type="dxa"/>
            <w:tcBorders>
              <w:bottom w:val="double" w:sz="8" w:space="0" w:color="000000"/>
            </w:tcBorders>
            <w:tcMar>
              <w:bottom w:w="28" w:type="dxa"/>
            </w:tcMar>
            <w:vAlign w:val="bottom"/>
          </w:tcPr>
          <w:p>
            <w:pPr>
              <w:pStyle w:val="TableContents"/>
              <w:bidi w:val="0"/>
              <w:spacing w:before="0" w:after="0"/>
              <w:jc w:val="right"/>
              <w:rPr/>
            </w:pPr>
            <w:r>
              <w:rPr/>
              <w:t>1,350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2"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pPr>
            <w:r>
              <w:rPr/>
              <w:t>$</w:t>
            </w:r>
          </w:p>
        </w:tc>
        <w:tc>
          <w:tcPr>
            <w:tcW w:w="138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2,544</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assets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2" w:type="dxa"/>
            <w:tcBorders>
              <w:bottom w:val="double" w:sz="8" w:space="0" w:color="000000"/>
            </w:tcBorders>
            <w:shd w:fill="CCEEFF" w:val="clear"/>
            <w:tcMar>
              <w:bottom w:w="28" w:type="dxa"/>
            </w:tcMar>
            <w:vAlign w:val="bottom"/>
          </w:tcPr>
          <w:p>
            <w:pPr>
              <w:pStyle w:val="TableContents"/>
              <w:bidi w:val="0"/>
              <w:spacing w:before="0" w:after="0"/>
              <w:jc w:val="right"/>
              <w:rPr/>
            </w:pPr>
            <w:r>
              <w:rPr/>
              <w:t>173,673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229,001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2" w:type="dxa"/>
            <w:tcBorders>
              <w:bottom w:val="double" w:sz="8" w:space="0" w:color="000000"/>
            </w:tcBorders>
            <w:shd w:fill="CCEEFF" w:val="clear"/>
            <w:tcMar>
              <w:bottom w:w="28" w:type="dxa"/>
            </w:tcMar>
            <w:vAlign w:val="bottom"/>
          </w:tcPr>
          <w:p>
            <w:pPr>
              <w:pStyle w:val="TableContents"/>
              <w:bidi w:val="0"/>
              <w:spacing w:before="0" w:after="283"/>
              <w:jc w:val="right"/>
              <w:rPr/>
            </w:pPr>
            <w:r>
              <w:rPr/>
              <w:t>164,475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81" w:type="dxa"/>
            <w:tcBorders>
              <w:bottom w:val="double" w:sz="8" w:space="0" w:color="000000"/>
            </w:tcBorders>
            <w:shd w:fill="CCEEFF" w:val="clear"/>
            <w:tcMar>
              <w:bottom w:w="28" w:type="dxa"/>
            </w:tcMar>
            <w:vAlign w:val="bottom"/>
          </w:tcPr>
          <w:p>
            <w:pPr>
              <w:pStyle w:val="TableContents"/>
              <w:bidi w:val="0"/>
              <w:spacing w:before="0" w:after="0"/>
              <w:jc w:val="right"/>
              <w:rPr/>
            </w:pPr>
            <w:r>
              <w:rPr/>
              <w:t>(133,212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283"/>
              <w:jc w:val="right"/>
              <w:rPr/>
            </w:pPr>
            <w:r>
              <w:rPr/>
              <w:t>433,937</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96" w:name="z096e037be48c48e3a6f622b1e398fe80"/>
      <w:bookmarkStart w:id="297" w:name="z096e037be48c48e3a6f622b1e398fe80"/>
      <w:bookmarkEnd w:id="297"/>
    </w:p>
    <w:tbl>
      <w:tblPr>
        <w:tblW w:w="10205" w:type="dxa"/>
        <w:jc w:val="left"/>
        <w:tblInd w:w="0" w:type="dxa"/>
        <w:tblLayout w:type="fixed"/>
        <w:tblCellMar>
          <w:top w:w="0" w:type="dxa"/>
          <w:left w:w="0" w:type="dxa"/>
          <w:bottom w:w="0" w:type="dxa"/>
          <w:right w:w="0" w:type="dxa"/>
        </w:tblCellMar>
      </w:tblPr>
      <w:tblGrid>
        <w:gridCol w:w="2883"/>
        <w:gridCol w:w="90"/>
        <w:gridCol w:w="184"/>
        <w:gridCol w:w="903"/>
        <w:gridCol w:w="125"/>
        <w:gridCol w:w="90"/>
        <w:gridCol w:w="170"/>
        <w:gridCol w:w="830"/>
        <w:gridCol w:w="125"/>
        <w:gridCol w:w="90"/>
        <w:gridCol w:w="194"/>
        <w:gridCol w:w="953"/>
        <w:gridCol w:w="125"/>
        <w:gridCol w:w="90"/>
        <w:gridCol w:w="249"/>
        <w:gridCol w:w="1331"/>
        <w:gridCol w:w="125"/>
        <w:gridCol w:w="90"/>
        <w:gridCol w:w="235"/>
        <w:gridCol w:w="1150"/>
        <w:gridCol w:w="173"/>
      </w:tblGrid>
      <w:tr>
        <w:trPr/>
        <w:tc>
          <w:tcPr>
            <w:tcW w:w="28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059" w:type="dxa"/>
            <w:gridSpan w:val="18"/>
            <w:tcBorders>
              <w:bottom w:val="single" w:sz="12" w:space="0" w:color="000000"/>
            </w:tcBorders>
            <w:tcMar>
              <w:bottom w:w="28" w:type="dxa"/>
            </w:tcMar>
            <w:vAlign w:val="bottom"/>
          </w:tcPr>
          <w:p>
            <w:pPr>
              <w:pStyle w:val="TableContents"/>
              <w:bidi w:val="0"/>
              <w:spacing w:before="0" w:after="0"/>
              <w:jc w:val="center"/>
              <w:rPr>
                <w:b/>
              </w:rPr>
            </w:pPr>
            <w:r>
              <w:rPr>
                <w:b/>
              </w:rPr>
              <w:t>For the Year Ended December 31, 2024 (Restated)</w:t>
            </w:r>
          </w:p>
        </w:tc>
        <w:tc>
          <w:tcPr>
            <w:tcW w:w="173"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American </w:t>
              <w:b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Bankers </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7"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Corporate </w:t>
            </w:r>
          </w:p>
          <w:p>
            <w:pPr>
              <w:pStyle w:val="TableContents"/>
              <w:bidi w:val="0"/>
              <w:spacing w:before="0" w:after="0"/>
              <w:jc w:val="center"/>
              <w:rPr>
                <w:b/>
              </w:rPr>
            </w:pPr>
            <w:r>
              <w:rPr>
                <w:b/>
              </w:rPr>
              <w:t>&amp; Other</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Adjustments </w:t>
            </w:r>
          </w:p>
          <w:p>
            <w:pPr>
              <w:pStyle w:val="TableContents"/>
              <w:bidi w:val="0"/>
              <w:spacing w:before="0" w:after="0"/>
              <w:jc w:val="center"/>
              <w:rPr>
                <w:b/>
              </w:rPr>
            </w:pPr>
            <w:r>
              <w:rPr>
                <w:b/>
              </w:rPr>
              <w:t>&amp; Eliminations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Consolidated</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Insurance premiums, net</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67,689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110,899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5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33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178,588</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Insurance benefits and losses incurred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55,767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68,311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124,078</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Future policy benefit remeasurement gain</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(2,334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(2,334</w:t>
            </w:r>
          </w:p>
        </w:tc>
        <w:tc>
          <w:tcPr>
            <w:tcW w:w="173" w:type="dxa"/>
            <w:tcBorders/>
            <w:shd w:fill="CCEEFF" w:val="clear"/>
            <w:vAlign w:val="bottom"/>
          </w:tcPr>
          <w:p>
            <w:pPr>
              <w:pStyle w:val="TableContents"/>
              <w:bidi w:val="0"/>
              <w:spacing w:before="0" w:after="0"/>
              <w:jc w:val="left"/>
              <w:rPr/>
            </w:pPr>
            <w:r>
              <w:rPr/>
              <w:t>)</w:t>
            </w:r>
          </w:p>
        </w:tc>
      </w:tr>
      <w:tr>
        <w:trPr/>
        <w:tc>
          <w:tcPr>
            <w:tcW w:w="2883" w:type="dxa"/>
            <w:tcBorders/>
            <w:vAlign w:val="bottom"/>
          </w:tcPr>
          <w:p>
            <w:pPr>
              <w:pStyle w:val="TableContents"/>
              <w:bidi w:val="0"/>
              <w:spacing w:before="0" w:after="0"/>
              <w:jc w:val="left"/>
              <w:rPr/>
            </w:pPr>
            <w:r>
              <w:rPr/>
              <w:t>Expenses deferred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(8,498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(10,741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(19,239</w:t>
            </w:r>
          </w:p>
        </w:tc>
        <w:tc>
          <w:tcPr>
            <w:tcW w:w="173" w:type="dxa"/>
            <w:tcBorders/>
            <w:vAlign w:val="bottom"/>
          </w:tcPr>
          <w:p>
            <w:pPr>
              <w:pStyle w:val="TableContents"/>
              <w:bidi w:val="0"/>
              <w:spacing w:before="0" w:after="0"/>
              <w:jc w:val="left"/>
              <w:rPr/>
            </w:pPr>
            <w:r>
              <w:rPr/>
              <w:t>)</w:t>
            </w:r>
          </w:p>
        </w:tc>
      </w:tr>
      <w:tr>
        <w:trPr/>
        <w:tc>
          <w:tcPr>
            <w:tcW w:w="2883" w:type="dxa"/>
            <w:tcBorders/>
            <w:shd w:fill="CCEEFF" w:val="clear"/>
            <w:vAlign w:val="bottom"/>
          </w:tcPr>
          <w:p>
            <w:pPr>
              <w:pStyle w:val="TableContents"/>
              <w:bidi w:val="0"/>
              <w:spacing w:before="0" w:after="0"/>
              <w:jc w:val="left"/>
              <w:rPr/>
            </w:pPr>
            <w:r>
              <w:rPr/>
              <w:t>Amortization and depreciation expense</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8,390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7,571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15,962</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Other expenses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pPr>
            <w:r>
              <w:rPr/>
              <w:t>15,673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45,351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tcMar>
              <w:bottom w:w="28" w:type="dxa"/>
            </w:tcMar>
            <w:vAlign w:val="bottom"/>
          </w:tcPr>
          <w:p>
            <w:pPr>
              <w:pStyle w:val="TableContents"/>
              <w:bidi w:val="0"/>
              <w:spacing w:before="0" w:after="0"/>
              <w:jc w:val="right"/>
              <w:rPr/>
            </w:pPr>
            <w:r>
              <w:rPr/>
              <w:t>23,357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tcMar>
              <w:bottom w:w="28" w:type="dxa"/>
            </w:tcMar>
            <w:vAlign w:val="bottom"/>
          </w:tcPr>
          <w:p>
            <w:pPr>
              <w:pStyle w:val="TableContents"/>
              <w:bidi w:val="0"/>
              <w:spacing w:before="0" w:after="0"/>
              <w:jc w:val="right"/>
              <w:rPr/>
            </w:pPr>
            <w:r>
              <w:rPr/>
              <w:t>(13,141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71,240</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Total expenses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71,332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108,158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bottom"/>
          </w:tcPr>
          <w:p>
            <w:pPr>
              <w:pStyle w:val="TableContents"/>
              <w:bidi w:val="0"/>
              <w:spacing w:before="0" w:after="0"/>
              <w:jc w:val="right"/>
              <w:rPr/>
            </w:pPr>
            <w:r>
              <w:rPr/>
              <w:t>23,358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bottom"/>
          </w:tcPr>
          <w:p>
            <w:pPr>
              <w:pStyle w:val="TableContents"/>
              <w:bidi w:val="0"/>
              <w:spacing w:before="0" w:after="0"/>
              <w:jc w:val="right"/>
              <w:rPr/>
            </w:pPr>
            <w:r>
              <w:rPr/>
              <w:t>(13,141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189,707</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Underwriting income (loss)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(3,643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2,741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(902</w:t>
            </w:r>
          </w:p>
        </w:tc>
        <w:tc>
          <w:tcPr>
            <w:tcW w:w="173" w:type="dxa"/>
            <w:tcBorders/>
            <w:vAlign w:val="bottom"/>
          </w:tcPr>
          <w:p>
            <w:pPr>
              <w:pStyle w:val="TableContents"/>
              <w:bidi w:val="0"/>
              <w:spacing w:before="0" w:after="0"/>
              <w:jc w:val="left"/>
              <w:rPr/>
            </w:pPr>
            <w:r>
              <w:rPr/>
              <w:t>)</w:t>
            </w:r>
          </w:p>
        </w:tc>
      </w:tr>
      <w:tr>
        <w:trPr/>
        <w:tc>
          <w:tcPr>
            <w:tcW w:w="2883" w:type="dxa"/>
            <w:tcBorders/>
            <w:shd w:fill="CCEEFF" w:val="clear"/>
            <w:vAlign w:val="bottom"/>
          </w:tcPr>
          <w:p>
            <w:pPr>
              <w:pStyle w:val="TableContents"/>
              <w:bidi w:val="0"/>
              <w:spacing w:before="0" w:after="0"/>
              <w:jc w:val="left"/>
              <w:rPr/>
            </w:pPr>
            <w:r>
              <w:rPr/>
              <w:t>Net investment income (loss)</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4,151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5,544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3,705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(3,609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9,791</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Other income (loss)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pPr>
            <w:r>
              <w:rPr/>
              <w:t>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tcMar>
              <w:bottom w:w="28" w:type="dxa"/>
            </w:tcMar>
            <w:vAlign w:val="bottom"/>
          </w:tcPr>
          <w:p>
            <w:pPr>
              <w:pStyle w:val="TableContents"/>
              <w:bidi w:val="0"/>
              <w:spacing w:before="0" w:after="0"/>
              <w:jc w:val="right"/>
              <w:rPr/>
            </w:pPr>
            <w:r>
              <w:rPr/>
              <w:t>9,531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tcMar>
              <w:bottom w:w="28" w:type="dxa"/>
            </w:tcMar>
            <w:vAlign w:val="bottom"/>
          </w:tcPr>
          <w:p>
            <w:pPr>
              <w:pStyle w:val="TableContents"/>
              <w:bidi w:val="0"/>
              <w:spacing w:before="0" w:after="0"/>
              <w:jc w:val="right"/>
              <w:rPr/>
            </w:pPr>
            <w:r>
              <w:rPr/>
              <w:t>(9,532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9</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Subtotal</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513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8,290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(10,122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(1,319</w:t>
            </w:r>
          </w:p>
        </w:tc>
        <w:tc>
          <w:tcPr>
            <w:tcW w:w="173" w:type="dxa"/>
            <w:tcBorders/>
            <w:shd w:fill="CCEEFF" w:val="clear"/>
            <w:vAlign w:val="bottom"/>
          </w:tcPr>
          <w:p>
            <w:pPr>
              <w:pStyle w:val="TableContents"/>
              <w:bidi w:val="0"/>
              <w:spacing w:before="0" w:after="0"/>
              <w:jc w:val="left"/>
              <w:rPr/>
            </w:pPr>
            <w:r>
              <w:rPr/>
              <w:t>)</w:t>
            </w:r>
          </w:p>
        </w:tc>
      </w:tr>
      <w:tr>
        <w:trPr/>
        <w:tc>
          <w:tcPr>
            <w:tcW w:w="2883" w:type="dxa"/>
            <w:tcBorders/>
            <w:vAlign w:val="bottom"/>
          </w:tcPr>
          <w:p>
            <w:pPr>
              <w:pStyle w:val="TableContents"/>
              <w:bidi w:val="0"/>
              <w:spacing w:before="0" w:after="0"/>
              <w:jc w:val="left"/>
              <w:rPr/>
            </w:pPr>
            <w:r>
              <w:rPr/>
              <w:t>Net realized gains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666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1,210</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Unrealized losses on equity securities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(291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(1,039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bottom"/>
          </w:tcPr>
          <w:p>
            <w:pPr>
              <w:pStyle w:val="TableContents"/>
              <w:bidi w:val="0"/>
              <w:spacing w:before="0" w:after="0"/>
              <w:jc w:val="right"/>
              <w:rPr/>
            </w:pPr>
            <w:r>
              <w:rPr/>
              <w:t>(186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(1,516</w:t>
            </w:r>
          </w:p>
        </w:tc>
        <w:tc>
          <w:tcPr>
            <w:tcW w:w="173" w:type="dxa"/>
            <w:tcBorders/>
            <w:shd w:fill="CCEEFF" w:val="clear"/>
            <w:vAlign w:val="bottom"/>
          </w:tcPr>
          <w:p>
            <w:pPr>
              <w:pStyle w:val="TableContents"/>
              <w:bidi w:val="0"/>
              <w:spacing w:before="0" w:after="0"/>
              <w:jc w:val="left"/>
              <w:rPr/>
            </w:pPr>
            <w:r>
              <w:rPr/>
              <w:t>)</w:t>
            </w:r>
          </w:p>
        </w:tc>
      </w:tr>
      <w:tr>
        <w:trPr/>
        <w:tc>
          <w:tcPr>
            <w:tcW w:w="2883" w:type="dxa"/>
            <w:tcBorders/>
            <w:vAlign w:val="bottom"/>
          </w:tcPr>
          <w:p>
            <w:pPr>
              <w:pStyle w:val="TableContents"/>
              <w:bidi w:val="0"/>
              <w:spacing w:before="0" w:after="0"/>
              <w:jc w:val="left"/>
              <w:rPr/>
            </w:pPr>
            <w:r>
              <w:rPr/>
              <w:t>Income (loss) before income taxes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3" w:type="dxa"/>
            <w:tcBorders>
              <w:bottom w:val="double" w:sz="8" w:space="0" w:color="000000"/>
            </w:tcBorders>
            <w:tcMar>
              <w:bottom w:w="28" w:type="dxa"/>
            </w:tcMar>
            <w:vAlign w:val="bottom"/>
          </w:tcPr>
          <w:p>
            <w:pPr>
              <w:pStyle w:val="TableContents"/>
              <w:bidi w:val="0"/>
              <w:spacing w:before="0" w:after="0"/>
              <w:jc w:val="right"/>
              <w:rPr/>
            </w:pPr>
            <w:r>
              <w:rPr/>
              <w:t>888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7,795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3" w:type="dxa"/>
            <w:tcBorders>
              <w:bottom w:val="double" w:sz="8" w:space="0" w:color="000000"/>
            </w:tcBorders>
            <w:tcMar>
              <w:bottom w:w="28" w:type="dxa"/>
            </w:tcMar>
            <w:vAlign w:val="bottom"/>
          </w:tcPr>
          <w:p>
            <w:pPr>
              <w:pStyle w:val="TableContents"/>
              <w:bidi w:val="0"/>
              <w:spacing w:before="0" w:after="0"/>
              <w:jc w:val="right"/>
              <w:rPr/>
            </w:pPr>
            <w:r>
              <w:rPr/>
              <w:t>(10,308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49" w:type="dxa"/>
            <w:tcBorders>
              <w:bottom w:val="double" w:sz="8" w:space="0" w:color="000000"/>
            </w:tcBorders>
            <w:tcMar>
              <w:bottom w:w="28" w:type="dxa"/>
            </w:tcMar>
            <w:vAlign w:val="bottom"/>
          </w:tcPr>
          <w:p>
            <w:pPr>
              <w:pStyle w:val="TableContents"/>
              <w:bidi w:val="0"/>
              <w:spacing w:before="0" w:after="0"/>
              <w:jc w:val="left"/>
              <w:rPr/>
            </w:pPr>
            <w:r>
              <w:rPr/>
              <w:t>$</w:t>
            </w:r>
          </w:p>
        </w:tc>
        <w:tc>
          <w:tcPr>
            <w:tcW w:w="133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(1,625</w:t>
            </w:r>
          </w:p>
        </w:tc>
        <w:tc>
          <w:tcPr>
            <w:tcW w:w="173" w:type="dxa"/>
            <w:tcBorders/>
            <w:vAlign w:val="bottom"/>
          </w:tcPr>
          <w:p>
            <w:pPr>
              <w:pStyle w:val="TableContents"/>
              <w:bidi w:val="0"/>
              <w:spacing w:before="0" w:after="0"/>
              <w:jc w:val="left"/>
              <w:rPr/>
            </w:pPr>
            <w:r>
              <w:rPr/>
              <w:t>)</w:t>
            </w:r>
          </w:p>
        </w:tc>
      </w:tr>
      <w:tr>
        <w:trPr/>
        <w:tc>
          <w:tcPr>
            <w:tcW w:w="2883" w:type="dxa"/>
            <w:tcBorders/>
            <w:shd w:fill="CCEEFF" w:val="clear"/>
            <w:vAlign w:val="bottom"/>
          </w:tcPr>
          <w:p>
            <w:pPr>
              <w:pStyle w:val="TableContents"/>
              <w:bidi w:val="0"/>
              <w:spacing w:before="0" w:after="0"/>
              <w:jc w:val="left"/>
              <w:rPr/>
            </w:pPr>
            <w:r>
              <w:rPr/>
              <w:t>Total revenues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pPr>
            <w:r>
              <w:rPr/>
              <w:t>72,220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115,953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3" w:type="dxa"/>
            <w:tcBorders>
              <w:bottom w:val="double" w:sz="8" w:space="0" w:color="000000"/>
            </w:tcBorders>
            <w:shd w:fill="CCEEFF" w:val="clear"/>
            <w:tcMar>
              <w:bottom w:w="28" w:type="dxa"/>
            </w:tcMar>
            <w:vAlign w:val="bottom"/>
          </w:tcPr>
          <w:p>
            <w:pPr>
              <w:pStyle w:val="TableContents"/>
              <w:bidi w:val="0"/>
              <w:spacing w:before="0" w:after="0"/>
              <w:jc w:val="right"/>
              <w:rPr/>
            </w:pPr>
            <w:r>
              <w:rPr/>
              <w:t>13,050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31" w:type="dxa"/>
            <w:tcBorders>
              <w:bottom w:val="double" w:sz="8" w:space="0" w:color="000000"/>
            </w:tcBorders>
            <w:shd w:fill="CCEEFF" w:val="clear"/>
            <w:tcMar>
              <w:bottom w:w="28" w:type="dxa"/>
            </w:tcMar>
            <w:vAlign w:val="bottom"/>
          </w:tcPr>
          <w:p>
            <w:pPr>
              <w:pStyle w:val="TableContents"/>
              <w:bidi w:val="0"/>
              <w:spacing w:before="0" w:after="0"/>
              <w:jc w:val="right"/>
              <w:rPr/>
            </w:pPr>
            <w:r>
              <w:rPr/>
              <w:t>(13,141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pPr>
            <w:r>
              <w:rPr/>
              <w:t>188,082</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Intangibles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3" w:type="dxa"/>
            <w:tcBorders>
              <w:bottom w:val="double" w:sz="8" w:space="0" w:color="000000"/>
            </w:tcBorders>
            <w:tcMar>
              <w:bottom w:w="28" w:type="dxa"/>
            </w:tcMar>
            <w:vAlign w:val="bottom"/>
          </w:tcPr>
          <w:p>
            <w:pPr>
              <w:pStyle w:val="TableContents"/>
              <w:bidi w:val="0"/>
              <w:spacing w:before="0" w:after="0"/>
              <w:jc w:val="right"/>
              <w:rPr/>
            </w:pPr>
            <w:r>
              <w:rPr/>
              <w:t>1,350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3"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bottom w:val="double" w:sz="8" w:space="0" w:color="000000"/>
            </w:tcBorders>
            <w:tcMar>
              <w:bottom w:w="28" w:type="dxa"/>
            </w:tcMar>
            <w:vAlign w:val="bottom"/>
          </w:tcPr>
          <w:p>
            <w:pPr>
              <w:pStyle w:val="TableContents"/>
              <w:bidi w:val="0"/>
              <w:spacing w:before="0" w:after="0"/>
              <w:jc w:val="left"/>
              <w:rPr/>
            </w:pPr>
            <w:r>
              <w:rPr/>
              <w:t>$</w:t>
            </w:r>
          </w:p>
        </w:tc>
        <w:tc>
          <w:tcPr>
            <w:tcW w:w="133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2,544</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Total assets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pPr>
            <w:r>
              <w:rPr/>
              <w:t>147,214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202,751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3" w:type="dxa"/>
            <w:tcBorders>
              <w:bottom w:val="double" w:sz="8" w:space="0" w:color="000000"/>
            </w:tcBorders>
            <w:shd w:fill="CCEEFF" w:val="clear"/>
            <w:tcMar>
              <w:bottom w:w="28" w:type="dxa"/>
            </w:tcMar>
            <w:vAlign w:val="bottom"/>
          </w:tcPr>
          <w:p>
            <w:pPr>
              <w:pStyle w:val="TableContents"/>
              <w:bidi w:val="0"/>
              <w:spacing w:before="0" w:after="0"/>
              <w:jc w:val="right"/>
              <w:rPr/>
            </w:pPr>
            <w:r>
              <w:rPr/>
              <w:t>156,964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31" w:type="dxa"/>
            <w:tcBorders>
              <w:bottom w:val="double" w:sz="8" w:space="0" w:color="000000"/>
            </w:tcBorders>
            <w:shd w:fill="CCEEFF" w:val="clear"/>
            <w:tcMar>
              <w:bottom w:w="28" w:type="dxa"/>
            </w:tcMar>
            <w:vAlign w:val="bottom"/>
          </w:tcPr>
          <w:p>
            <w:pPr>
              <w:pStyle w:val="TableContents"/>
              <w:bidi w:val="0"/>
              <w:spacing w:before="0" w:after="0"/>
              <w:jc w:val="right"/>
              <w:rPr/>
            </w:pPr>
            <w:r>
              <w:rPr/>
              <w:t>(124,890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pPr>
            <w:r>
              <w:rPr/>
              <w:t>382,039</w:t>
            </w:r>
          </w:p>
        </w:tc>
        <w:tc>
          <w:tcPr>
            <w:tcW w:w="17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19. Commitments and Contingencies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Litigation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From time to time, the Company is, and expects to continue to be, involved in various claims and lawsuits incidental to and arising in the ordinary course of its business. In the opinion of management, any such known claims are not expected to have a material effect on the financial condition or results of operations of the Company.</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Regulatory Matters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Like all domestic insurance companies, the Company’s insurance subsidiaries are subject to regulation and supervision in the jurisdictions in which they do business. Statutes typically delegate regulatory, supervisory, and administrative powers to state insurance commissioners. From time to time, and in the ordinary course of business, the Company receives notices and inquiries from state insurance departments with respect to various matters. In the opinion of management, any such known regulatory matters are not expected to have a material effect on the financial condition or results of operations of the Company.</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Note 20. Subsequent Events</w:t>
      </w:r>
    </w:p>
    <w:p>
      <w:pPr>
        <w:pStyle w:val="TextBody"/>
        <w:bidi w:val="0"/>
        <w:spacing w:before="0" w:after="0"/>
        <w:jc w:val="left"/>
        <w:rPr/>
      </w:pPr>
      <w:r>
        <w:rPr/>
      </w:r>
    </w:p>
    <w:p>
      <w:pPr>
        <w:pStyle w:val="TextBody"/>
        <w:bidi w:val="0"/>
        <w:spacing w:before="0" w:after="0"/>
        <w:ind w:left="2" w:right="0" w:firstLine="718"/>
        <w:jc w:val="both"/>
        <w:rPr/>
      </w:pPr>
      <w:r>
        <w:rPr/>
        <w:t> </w:t>
      </w:r>
      <w:r>
        <w:rPr>
          <w:rFonts w:ascii="Times New Roman" w:hAnsi="Times New Roman"/>
          <w:sz w:val="20"/>
        </w:rPr>
        <w:t>Management evaluated events and transactions occurring after December 31, 2025 through October 16, 2026, the date these consolidated financial statements were available to be issued, to determine whether such events required recognition or disclosure in the consolidated financial statements. Based on this evaluation, management identified the following subsequent events:</w:t>
      </w:r>
    </w:p>
    <w:p>
      <w:pPr>
        <w:pStyle w:val="TextBody"/>
        <w:bidi w:val="0"/>
        <w:spacing w:before="200" w:after="20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Delinquent SEC Filings</w:t>
      </w:r>
    </w:p>
    <w:p>
      <w:pPr>
        <w:pStyle w:val="TextBody"/>
        <w:bidi w:val="0"/>
        <w:spacing w:before="0" w:after="0"/>
        <w:jc w:val="left"/>
        <w:rPr/>
      </w:pPr>
      <w:r>
        <w:rPr/>
      </w:r>
    </w:p>
    <w:p>
      <w:pPr>
        <w:pStyle w:val="TextBody"/>
        <w:bidi w:val="0"/>
        <w:spacing w:before="0" w:after="0"/>
        <w:ind w:left="0" w:right="2" w:firstLine="720"/>
        <w:jc w:val="both"/>
        <w:rPr>
          <w:rFonts w:ascii="Times New Roman" w:hAnsi="Times New Roman"/>
          <w:sz w:val="20"/>
        </w:rPr>
      </w:pPr>
      <w:r>
        <w:rPr>
          <w:rFonts w:ascii="Times New Roman" w:hAnsi="Times New Roman"/>
          <w:sz w:val="20"/>
        </w:rPr>
        <w:t>As previously disclosed, the Company has received notices from Nasdaq stating that the Company is not in compliance with Nasdaq Listing Rule 5250(c)(1), which requires listed companies to timely file all required periodic financial reports with the SEC. The Company is not in compliance with the Rule due to its delay in filing this Form 10-K and its Quarterly Reports on Form 10-Q for the quarters ended March 31, 2026 and June 30, 2026 (collectively, the “Delinquent Reports”). Following the Company’s timely submission of a compliance plan, Nasdaq informed the Company that it was granted an extension until October 12, 2026 to regain compliance with the Rule. The Company expects that it will receive a staff delisting determination from Nasdaq due to its inability to file each of the Delinquent Reports by such date. While the Company intends to appeal such determination to a Nasdaq Hearings Panel, an appeal may not be successful in preventing the suspension of trading, or delisting of, the Company’s common stock from Nasdaq. The Company continues to work diligently toward filing the remaining Delinquent Reports and regaining compliance with the Rule as promptly as practicable.</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CFO Resignation</w:t>
      </w:r>
    </w:p>
    <w:p>
      <w:pPr>
        <w:pStyle w:val="TextBody"/>
        <w:bidi w:val="0"/>
        <w:spacing w:before="0" w:after="0"/>
        <w:jc w:val="left"/>
        <w:rPr/>
      </w:pPr>
      <w:r>
        <w:rPr/>
      </w:r>
    </w:p>
    <w:p>
      <w:pPr>
        <w:pStyle w:val="TextBody"/>
        <w:bidi w:val="0"/>
        <w:spacing w:before="0" w:after="0"/>
        <w:ind w:left="2" w:right="0" w:firstLine="718"/>
        <w:jc w:val="both"/>
        <w:rPr>
          <w:rFonts w:ascii="Times New Roman" w:hAnsi="Times New Roman"/>
          <w:sz w:val="20"/>
        </w:rPr>
      </w:pPr>
      <w:r>
        <w:rPr>
          <w:rFonts w:ascii="Times New Roman" w:hAnsi="Times New Roman"/>
          <w:sz w:val="20"/>
        </w:rPr>
        <w:t xml:space="preserve">As previously disclosed, on April 29, 2026, J. Ross Franklin notified the Company of his decision to resign as Vice President, Chief Financial Officer and Secretary of the Company, effective May 27, 2026. Mr. Franklin’s decision to resign is not due to any disagreement with the Company on any matter relating to the Company’s operations, policies or practices. The Company has commenced the process to name a successor to Mr. Franklin as Chief Financial Officer. </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Amendments to Credit Agreement</w:t>
      </w:r>
    </w:p>
    <w:p>
      <w:pPr>
        <w:pStyle w:val="TextBody"/>
        <w:bidi w:val="0"/>
        <w:spacing w:before="0" w:after="0"/>
        <w:jc w:val="left"/>
        <w:rPr/>
      </w:pPr>
      <w:r>
        <w:rPr/>
      </w:r>
    </w:p>
    <w:p>
      <w:pPr>
        <w:pStyle w:val="TextBody"/>
        <w:bidi w:val="0"/>
        <w:spacing w:before="0" w:after="0"/>
        <w:ind w:left="2" w:right="0" w:firstLine="718"/>
        <w:jc w:val="both"/>
        <w:rPr>
          <w:rFonts w:ascii="Times New Roman" w:hAnsi="Times New Roman"/>
          <w:sz w:val="20"/>
        </w:rPr>
      </w:pPr>
      <w:r>
        <w:rPr>
          <w:rFonts w:ascii="Times New Roman" w:hAnsi="Times New Roman"/>
          <w:sz w:val="20"/>
        </w:rPr>
        <w:t xml:space="preserve">On May 27, 2026, July 31, 2026, October 9, 2026 and October 15, 2026, the Company entered into amendments to its Revolving Credit Agreement dated as of May 12, 2021 (as amended, the “Credit Agreement”) with Truist Bank as the lender (the “Lender”), each of which had the effect of extending the then-applicable deadlines by which the Company must deliver to the Lender (i) the Company’s audited consolidated financial statements for the year ended December 31, 2025, (ii) the Company’s interim consolidated financial statements for the quarters ended March 31, 2026, June 30, 2026 and September 30, 2026, and (iii) related certificates of the Company’s compliance with financial covenants under the Credit Agreement and certain other matters. The Fifth Amendment to the Revolving Credit Agreement, dated October 15, 2026, also amended the minimum AM Best financial strength rating that must be maintained by American Southern Insurance Company to be no lower than “A-” and waived related defaults under the Credit Agreement occurring prior to such amendment. </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Bankers Fidelity Audited Statutory Financial Statements and Second-Quarter Statutory Filing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the date of this Form 10-K, Bankers Fidelity has not yet filed its annual audited statutory financial statements for the fiscal year ended December 31, 2025 or quarterly statutory financial statements for the quarter ended June 30, 2026 with the applicable state insurance regulatory authorities. Bankers Fidelity is working with its independent auditors and the state regulators to complete and file the required financial statements and intends to seek an extension if appropriate. If Bankers Fidelity is unable to file the required financial statements by the applicable deadlines (including as the same may be extended), actions may be imposed by the applicable regulatory authorities.</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Nebraska Regulatory Examination</w:t>
      </w:r>
    </w:p>
    <w:p>
      <w:pPr>
        <w:pStyle w:val="TextBody"/>
        <w:bidi w:val="0"/>
        <w:spacing w:before="0" w:after="0"/>
        <w:jc w:val="left"/>
        <w:rPr/>
      </w:pPr>
      <w:r>
        <w:rPr/>
      </w:r>
    </w:p>
    <w:p>
      <w:pPr>
        <w:pStyle w:val="TextBody"/>
        <w:bidi w:val="0"/>
        <w:spacing w:before="0" w:after="0"/>
        <w:ind w:left="2" w:right="0" w:firstLine="718"/>
        <w:jc w:val="both"/>
        <w:rPr>
          <w:rFonts w:ascii="Times New Roman" w:hAnsi="Times New Roman"/>
          <w:sz w:val="20"/>
        </w:rPr>
      </w:pPr>
      <w:r>
        <w:rPr>
          <w:rFonts w:ascii="Times New Roman" w:hAnsi="Times New Roman"/>
          <w:sz w:val="20"/>
        </w:rPr>
        <w:t>On August 24, 2026, the Nebraska Department of Insurance commenced a regulatory examination of the applicable insurance subsidiary. The Company is cooperating with the examination. Any findings or recommendations will be evaluated upon completion of the examination and issuance of a final examination report.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98" w:name="zd20dcafff4d540ba8b93a015745aaec6"/>
      <w:bookmarkStart w:id="299" w:name="ChangesinandDisagreements"/>
      <w:bookmarkStart w:id="300" w:name="zd20dcafff4d540ba8b93a015745aaec6"/>
      <w:bookmarkStart w:id="301" w:name="ChangesinandDisagreements"/>
      <w:bookmarkEnd w:id="300"/>
      <w:bookmarkEnd w:id="301"/>
    </w:p>
    <w:tbl>
      <w:tblPr>
        <w:tblW w:w="9955" w:type="dxa"/>
        <w:jc w:val="left"/>
        <w:tblInd w:w="0" w:type="dxa"/>
        <w:tblLayout w:type="fixed"/>
        <w:tblCellMar>
          <w:top w:w="0" w:type="dxa"/>
          <w:left w:w="0" w:type="dxa"/>
          <w:bottom w:w="0" w:type="dxa"/>
          <w:right w:w="0" w:type="dxa"/>
        </w:tblCellMar>
      </w:tblPr>
      <w:tblGrid>
        <w:gridCol w:w="770"/>
        <w:gridCol w:w="9185"/>
      </w:tblGrid>
      <w:tr>
        <w:trPr/>
        <w:tc>
          <w:tcPr>
            <w:tcW w:w="770" w:type="dxa"/>
            <w:tcBorders/>
            <w:vAlign w:val="center"/>
          </w:tcPr>
          <w:p>
            <w:pPr>
              <w:pStyle w:val="TableContents"/>
              <w:bidi w:val="0"/>
              <w:spacing w:before="0" w:after="283"/>
              <w:jc w:val="left"/>
              <w:rPr>
                <w:b/>
              </w:rPr>
            </w:pPr>
            <w:r>
              <w:rPr>
                <w:b/>
              </w:rPr>
              <w:t>Item 9.</w:t>
            </w:r>
          </w:p>
        </w:tc>
        <w:tc>
          <w:tcPr>
            <w:tcW w:w="9185" w:type="dxa"/>
            <w:tcBorders/>
            <w:vAlign w:val="center"/>
          </w:tcPr>
          <w:p>
            <w:pPr>
              <w:pStyle w:val="TableContents"/>
              <w:bidi w:val="0"/>
              <w:spacing w:before="0" w:after="0"/>
              <w:jc w:val="left"/>
              <w:rPr>
                <w:b/>
              </w:rPr>
            </w:pPr>
            <w:r>
              <w:rPr>
                <w:b/>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2" w:name="z2e115a10ae344cbd82f6a75e0ece1501"/>
      <w:bookmarkStart w:id="303" w:name="ControlsandProcedures"/>
      <w:bookmarkStart w:id="304" w:name="z2e115a10ae344cbd82f6a75e0ece1501"/>
      <w:bookmarkStart w:id="305" w:name="ControlsandProcedures"/>
      <w:bookmarkEnd w:id="304"/>
      <w:bookmarkEnd w:id="305"/>
    </w:p>
    <w:tbl>
      <w:tblPr>
        <w:tblW w:w="3595" w:type="dxa"/>
        <w:jc w:val="left"/>
        <w:tblInd w:w="0" w:type="dxa"/>
        <w:tblLayout w:type="fixed"/>
        <w:tblCellMar>
          <w:top w:w="0" w:type="dxa"/>
          <w:left w:w="0" w:type="dxa"/>
          <w:bottom w:w="0" w:type="dxa"/>
          <w:right w:w="0" w:type="dxa"/>
        </w:tblCellMar>
      </w:tblPr>
      <w:tblGrid>
        <w:gridCol w:w="950"/>
        <w:gridCol w:w="2645"/>
      </w:tblGrid>
      <w:tr>
        <w:trPr/>
        <w:tc>
          <w:tcPr>
            <w:tcW w:w="950" w:type="dxa"/>
            <w:tcBorders/>
            <w:vAlign w:val="center"/>
          </w:tcPr>
          <w:p>
            <w:pPr>
              <w:pStyle w:val="TableContents"/>
              <w:bidi w:val="0"/>
              <w:spacing w:before="0" w:after="283"/>
              <w:jc w:val="left"/>
              <w:rPr>
                <w:b/>
              </w:rPr>
            </w:pPr>
            <w:r>
              <w:rPr>
                <w:b/>
              </w:rPr>
              <w:t>Item 9A.</w:t>
            </w:r>
          </w:p>
        </w:tc>
        <w:tc>
          <w:tcPr>
            <w:tcW w:w="264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Evaluation of Disclosure Controls and Procedures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maintains disclosure controls and procedures, as defined in Rules 13a-15(e) and 15d-15(e) under the Securities Exchange Act of 1934, as amended (the “Exchange Act”), that are designed to ensure that information required to be disclosed in reports filed or submitted under the Exchange Act is recorded, processed, summarized and reported within the time periods specified in the Securities and Exchange Commission’s rules and forms and is accumulated and communicated to management, including the Company’s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As of December 31, 2025, management, with the participation of the Company’s Chief Executive Officer and its Principal Financial Officer, evaluated the effectiveness of the Company’s disclosure controls and procedures. Based on this evaluation, management, including the Chief Executive Officer and Principal Financial Officer concluded that the Company’s disclosure controls and procedures were not effective as of December 31, 2025 because of the material weaknesses in internal control over financial reporting described below.</w:t>
      </w:r>
    </w:p>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Management’s Report on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all misstatements. Furthermore, the application of any evaluations of effectiveness in future periods is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Management assessed the effectiveness of the Company’s internal control over financial reporting as of December 31, 2025, using the criteria set forth by the Committee of Sponsoring Organizations of the Treadway Commission (COSO) in the </w:t>
      </w:r>
      <w:r>
        <w:rPr>
          <w:rFonts w:ascii="Times New Roman" w:hAnsi="Times New Roman"/>
          <w:i/>
          <w:sz w:val="20"/>
        </w:rPr>
        <w:t>Internal Control – Integrated Framework (2013)</w:t>
      </w:r>
      <w:r>
        <w:rPr>
          <w:rFonts w:ascii="Times New Roman" w:hAnsi="Times New Roman"/>
          <w:sz w:val="20"/>
        </w:rPr>
        <w:t xml:space="preserve">. Based on this assessment, management concluded that the Company’s internal control over financial reporting was not effective as of December 31, 2025, because of the material weaknesses described below. </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Material Weakness—Group Premium Receivables and Suspense Cash Application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Management identified deficiencies in the design and operating effectiveness of controls over the recording and reconciliation of premium receivables and the application of premium payments held in suspense within the Company’s group whole life and group accident and health business.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 Company did not design and maintain effective controls to timely and accurately reconcile enrollment, billing and cash receipt information at the individual policyholder level and to resolve differences among third-party enrollment data, the policy administration system and the general ledger.</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As a result, the Company did not maintain controls operating at a sufficient level of precision to determine whether recorded premium receivables were valid, whether amounts held in suspense should be applied to individual policyholders or otherwise recognized, and whether the related amounts were recorded in the appropriate period and were appropriately classified in the Consolidated Financial Statements.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These deficiencies created a reasonable possibility that a material misstatement of premium revenue, premium receivables, accounts payable and accrued expenses and related disclosures would not be prevented or detected on a timely basis.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Accordingly, management concluded that these deficiencies, in the aggregate, constituted a material weakness in internal control over financial reporting as of December 31, 2025.</w:t>
      </w:r>
    </w:p>
    <w:p>
      <w:pPr>
        <w:pStyle w:val="TextBody"/>
        <w:bidi w:val="0"/>
        <w:spacing w:before="0" w:after="0"/>
        <w:jc w:val="left"/>
        <w:rPr/>
      </w:pPr>
      <w:r>
        <w:rPr/>
      </w:r>
    </w:p>
    <w:p>
      <w:pPr>
        <w:pStyle w:val="TextBody"/>
        <w:bidi w:val="0"/>
        <w:spacing w:before="0" w:after="0"/>
        <w:ind w:left="0" w:right="0" w:firstLine="150"/>
        <w:jc w:val="both"/>
        <w:rPr>
          <w:rFonts w:ascii="Times New Roman" w:hAnsi="Times New Roman"/>
          <w:i/>
          <w:sz w:val="20"/>
        </w:rPr>
      </w:pPr>
      <w:r>
        <w:rPr>
          <w:rFonts w:ascii="Times New Roman" w:hAnsi="Times New Roman"/>
          <w:i/>
          <w:sz w:val="20"/>
        </w:rPr>
        <w:t>Material Weakness— Implementation of LDTI and Valuation and Accounting for Long-duration contracts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525"/>
        <w:jc w:val="both"/>
        <w:rPr>
          <w:rFonts w:ascii="Times New Roman" w:hAnsi="Times New Roman"/>
          <w:sz w:val="20"/>
        </w:rPr>
      </w:pPr>
      <w:r>
        <w:rPr>
          <w:rFonts w:ascii="Times New Roman" w:hAnsi="Times New Roman"/>
          <w:sz w:val="20"/>
        </w:rPr>
        <w:t xml:space="preserve">Management identified deficiencies in the design and operating effectiveness of internal controls over the adoption and implementation of Accounting Standards Update No. 2018-12, </w:t>
      </w:r>
      <w:r>
        <w:rPr>
          <w:rFonts w:ascii="Times New Roman" w:hAnsi="Times New Roman"/>
          <w:i/>
          <w:sz w:val="20"/>
        </w:rPr>
        <w:t>Financial Services—Insurance (Topic 944): Targeted Improvements to the Accounting for Long-Duration Contracts</w:t>
      </w:r>
      <w:r>
        <w:rPr>
          <w:rFonts w:ascii="Times New Roman" w:hAnsi="Times New Roman"/>
          <w:sz w:val="20"/>
        </w:rPr>
        <w:t xml:space="preserve"> (“LDTI”).</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 Company lacked sufficient personnel with the specialized technical accounting, actuarial and internal control knowledge and experience necessary to design and execute an effective implementation process for LDTI and to perform an appropriate level of review over the resulting actuarial calculations, accounting entries and financial statement disclosures.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Consequently, the Company did not design and maintain effective controls to ensure that significant LDTI data inputs, assumptions, model configurations and accounting conclusions were identified, validated and incorporated completely and accurately into the actuarial calculations, accounting records and financial statement disclosures in time to complete the year-end financial reporting process.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deficiencies created a reasonable possibility that a material misstatement of LFPB, related remeasurement gains or losses, DAC, AOCI, income taxes and related financial statement disclosures would not be prevented or detected on a timely basis.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Accordingly, management concluded that these deficiencies, in the aggregate, constituted a material weakness in internal control over financial reporting as of December 31, 2025.</w:t>
      </w:r>
    </w:p>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Material Weakness— Income Tax Accounting</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Management identified deficiencies in the design and operating effectiveness of internal controls over the preparation, review and financial reporting of the Company’s income tax provision and current and deferred tax balances.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controls did not operate with sufficient precision and timeliness to ensure that the tax-basis reserves, premium and LDTI transition information used in the tax provision were complete and accurate.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Consequently, the income tax provision calculations were subject to revisions and required subsequent correction or reclassification. Although management’s corrective procedures supported the final reported amounts, those subsequent procedures demonstrated that the underlying controls were not operating effectively as of December 31, 2025.</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deficiencies created a reasonable possibility that a material misstatement of income tax related balances and related financial statement disclosures would not be prevented or detected on a timely basis.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Accordingly, management concluded that these deficiencies, in the aggregate, constituted a material weakness in internal control over financial reporting as of December 31, 2025.</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Remediation Activities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As further described below, management has initiated remediation activities intended to address the material weaknesses described above, which remain unremediated as of the date of this report. These activities include the following:</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i/>
          <w:sz w:val="20"/>
        </w:rPr>
        <w:t>Material Weakness—Group Premium Receivables and Suspense Cash Application</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Management’s remediation activities include or will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6" w:name="z200b99b33cff46c68719d2b0f2b2cb47"/>
      <w:bookmarkStart w:id="307" w:name="z200b99b33cff46c68719d2b0f2b2cb47"/>
      <w:bookmarkEnd w:id="307"/>
    </w:p>
    <w:tbl>
      <w:tblPr>
        <w:tblW w:w="10068" w:type="dxa"/>
        <w:jc w:val="left"/>
        <w:tblInd w:w="0" w:type="dxa"/>
        <w:tblLayout w:type="fixed"/>
        <w:tblCellMar>
          <w:top w:w="0" w:type="dxa"/>
          <w:left w:w="0" w:type="dxa"/>
          <w:bottom w:w="0" w:type="dxa"/>
          <w:right w:w="0" w:type="dxa"/>
        </w:tblCellMar>
      </w:tblPr>
      <w:tblGrid>
        <w:gridCol w:w="68"/>
        <w:gridCol w:w="140"/>
        <w:gridCol w:w="98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0"/>
              <w:jc w:val="both"/>
              <w:rPr/>
            </w:pPr>
            <w:r>
              <w:rPr/>
              <w:t>Implementing controls to validate inbound enrollment files against approved formats and business rules;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8" w:name="z46cea2a8d35c4eeea49bbcf4777897ed"/>
      <w:bookmarkStart w:id="309" w:name="z46cea2a8d35c4eeea49bbcf4777897ed"/>
      <w:bookmarkEnd w:id="30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Establishing procedures to communicate exceptions to submitting partners and require correction before information is processed by the policy-administration system;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0" w:name="z1c8a89478d19415ab32587477f102640"/>
      <w:bookmarkStart w:id="311" w:name="z1c8a89478d19415ab32587477f102640"/>
      <w:bookmarkEnd w:id="31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Implementing documented manual validation and exception-review controls while the automated solution is being developed and tested;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2" w:name="ze5454cb0bbc94a05a2272869eec96381"/>
      <w:bookmarkStart w:id="313" w:name="ze5454cb0bbc94a05a2272869eec96381"/>
      <w:bookmarkEnd w:id="31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Establishing recurring policy-level reconciliations among enrollment data, billing records, cash receipts, policy status, due-premium balances, suspense balances and the general ledger;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4" w:name="z9d9d437134a0426e98619a0596660d29"/>
      <w:bookmarkStart w:id="315" w:name="z9d9d437134a0426e98619a0596660d29"/>
      <w:bookmarkEnd w:id="31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Establishing formal aging, investigation, disposition and escalation requirements for due-premium and suspense balances;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Material Weakness—Implementation of LDTI and Valuation and Accounting for Long-duration contracts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Management’s remediation activities include or will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6" w:name="z3203d6b9ef8641b69f81ac0658e43a21"/>
      <w:bookmarkStart w:id="317" w:name="z3203d6b9ef8641b69f81ac0658e43a21"/>
      <w:bookmarkEnd w:id="31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Adding personnel or engaging qualified third-party resources with specialized technical accounting, actuarial and internal control expertise to support the ongoing application of LDTI;</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8" w:name="z5c5df47b42b543b29ac29b6cfd9a66b4"/>
      <w:bookmarkStart w:id="319" w:name="z5c5df47b42b543b29ac29b6cfd9a66b4"/>
      <w:bookmarkEnd w:id="31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Enhancing controls over actuarial valuation-related data inputs, assumptions, model configurations, actuarial calculations, as well as actuarial based journal entries, account reconciliations and financial statement disclosures;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0" w:name="zbb4ed36b7e194013a8e9e29e5511510c"/>
      <w:bookmarkStart w:id="321" w:name="zbb4ed36b7e194013a8e9e29e5511510c"/>
      <w:bookmarkEnd w:id="32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Establishing formal actuarial-to-accounting handoff and review controls designed to ensure that complete, accurate and timely information is provided and reviewed before completion of the financial statement close process.</w:t>
            </w:r>
          </w:p>
        </w:tc>
      </w:tr>
    </w:tbl>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Material Weakness—Income Tax Accounting</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Management’s remediation activities include or will include:</w:t>
      </w:r>
    </w:p>
    <w:p>
      <w:pPr>
        <w:pStyle w:val="TextBody"/>
        <w:bidi w:val="0"/>
        <w:spacing w:before="0" w:after="0"/>
        <w:ind w:left="0" w:right="0" w:firstLine="525"/>
        <w:jc w:val="both"/>
        <w:rPr/>
      </w:pPr>
      <w:r>
        <w:rPr/>
      </w:r>
    </w:p>
    <w:p>
      <w:pPr>
        <w:pStyle w:val="Normal"/>
        <w:bidi w:val="0"/>
        <w:spacing w:before="0" w:after="0"/>
        <w:jc w:val="left"/>
        <w:rPr>
          <w:sz w:val="4"/>
          <w:szCs w:val="4"/>
        </w:rPr>
      </w:pPr>
      <w:r>
        <w:rPr>
          <w:sz w:val="4"/>
          <w:szCs w:val="4"/>
        </w:rPr>
      </w:r>
      <w:bookmarkStart w:id="322" w:name="z7be449888e69402b997567db9db8b10d"/>
      <w:bookmarkStart w:id="323" w:name="z7be449888e69402b997567db9db8b10d"/>
      <w:bookmarkEnd w:id="32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Implementing controls to reconcile final tax reserves and premium to the corresponding tax attributes used in the income tax provision;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4" w:name="z7239f13f9ca349ea9917f929ffbb195a"/>
      <w:bookmarkStart w:id="325" w:name="z7239f13f9ca349ea9917f929ffbb195a"/>
      <w:bookmarkEnd w:id="32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Enhancing the independent review of current and deferred income tax expense, deferred tax assets and liabilities, and related equity effects using defined review criteria and thresholds, as well as model changes.</w:t>
            </w:r>
          </w:p>
        </w:tc>
      </w:tr>
    </w:tbl>
    <w:p>
      <w:pPr>
        <w:pStyle w:val="TextBody"/>
        <w:bidi w:val="0"/>
        <w:spacing w:before="0" w:after="0"/>
        <w:jc w:val="left"/>
        <w:rPr/>
      </w:pPr>
      <w:r>
        <w:rPr/>
      </w:r>
    </w:p>
    <w:p>
      <w:pPr>
        <w:pStyle w:val="TextBody"/>
        <w:bidi w:val="0"/>
        <w:spacing w:before="200" w:after="20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Changes in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adopted new accounting guidance for insurance and reinsurance companies that issue long-duration contracts (“LDTI”) as of January 1, 2025 on a modified retrospective transition basis. As a result, we implemented changes to our relevant business processes and internal controls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Except as reported above, no changes in our internal control over financial reporting (as such term is defined in Rule 13a-15(f) of the Exchange Act) occurred during the quarter ended December 31, 2025 that materially affected, or are reasonably likely to materially affect, our internal control over financial reporting.</w:t>
      </w:r>
    </w:p>
    <w:p>
      <w:pPr>
        <w:pStyle w:val="TextBody"/>
        <w:bidi w:val="0"/>
        <w:spacing w:before="0" w:after="0"/>
        <w:ind w:left="0" w:right="0" w:firstLine="720"/>
        <w:jc w:val="both"/>
        <w:rPr/>
      </w:pPr>
      <w:r>
        <w:rPr/>
      </w:r>
    </w:p>
    <w:p>
      <w:pPr>
        <w:pStyle w:val="TextBody"/>
        <w:bidi w:val="0"/>
        <w:spacing w:before="0" w:after="0"/>
        <w:ind w:left="0" w:right="0" w:firstLine="525"/>
        <w:jc w:val="both"/>
        <w:rPr/>
      </w:pPr>
      <w:r>
        <w:rPr/>
        <w:t> </w:t>
      </w:r>
      <w:r>
        <w:rPr>
          <w:rFonts w:ascii="Times New Roman" w:hAnsi="Times New Roman"/>
          <w:sz w:val="20"/>
        </w:rPr>
        <w:t>After December 31, 2025, the Company began implementing certain remediation measures with respect to the material weaknesses described above. Those post-year-end remediation activities did not affect management’s assessment of the effectiveness of internal control over financial reporting as of December 31, 2025.</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Attestation Report of the Registered Public Accounting Firm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certain rules of the Securities and Exchange Commission that exempt non-accelerated filers, including the Company, from such requirement.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6" w:name="ze9f4009a929d4fd289dd25e6a96e4061"/>
      <w:bookmarkStart w:id="327" w:name="OtherInformation"/>
      <w:bookmarkStart w:id="328" w:name="ze9f4009a929d4fd289dd25e6a96e4061"/>
      <w:bookmarkStart w:id="329" w:name="OtherInformation"/>
      <w:bookmarkEnd w:id="328"/>
      <w:bookmarkEnd w:id="329"/>
    </w:p>
    <w:tbl>
      <w:tblPr>
        <w:tblW w:w="2920" w:type="dxa"/>
        <w:jc w:val="left"/>
        <w:tblInd w:w="0" w:type="dxa"/>
        <w:tblLayout w:type="fixed"/>
        <w:tblCellMar>
          <w:top w:w="0" w:type="dxa"/>
          <w:left w:w="0" w:type="dxa"/>
          <w:bottom w:w="0" w:type="dxa"/>
          <w:right w:w="0" w:type="dxa"/>
        </w:tblCellMar>
      </w:tblPr>
      <w:tblGrid>
        <w:gridCol w:w="935"/>
        <w:gridCol w:w="1985"/>
      </w:tblGrid>
      <w:tr>
        <w:trPr/>
        <w:tc>
          <w:tcPr>
            <w:tcW w:w="935" w:type="dxa"/>
            <w:tcBorders/>
            <w:vAlign w:val="center"/>
          </w:tcPr>
          <w:p>
            <w:pPr>
              <w:pStyle w:val="TableContents"/>
              <w:bidi w:val="0"/>
              <w:spacing w:before="0" w:after="283"/>
              <w:jc w:val="left"/>
              <w:rPr>
                <w:b/>
              </w:rPr>
            </w:pPr>
            <w:r>
              <w:rPr>
                <w:b/>
              </w:rPr>
              <w:t>Item 9B.</w:t>
            </w:r>
          </w:p>
        </w:tc>
        <w:tc>
          <w:tcPr>
            <w:tcW w:w="1985" w:type="dxa"/>
            <w:tcBorders/>
            <w:vAlign w:val="center"/>
          </w:tcPr>
          <w:p>
            <w:pPr>
              <w:pStyle w:val="TableContents"/>
              <w:bidi w:val="0"/>
              <w:spacing w:before="0" w:after="0"/>
              <w:jc w:val="left"/>
              <w:rPr>
                <w:b/>
              </w:rPr>
            </w:pPr>
            <w:r>
              <w:rPr>
                <w:b/>
              </w:rPr>
              <w:t>Other Information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 of the Company’s directors or officers adopted or terminated a Rule 10b5-1 trading arrangement or a non-Rule 10b5-1 trading arrangement during the quarter ended December 31, 2025, as such terms are defined under Item 408(a) of Regulation S-K.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0" w:name="z367dfed68d68425eb3d4e311f5c5c3ee"/>
      <w:bookmarkStart w:id="331" w:name="DisclosureRegardingForeig"/>
      <w:bookmarkStart w:id="332" w:name="z367dfed68d68425eb3d4e311f5c5c3ee"/>
      <w:bookmarkStart w:id="333" w:name="DisclosureRegardingForeig"/>
      <w:bookmarkEnd w:id="332"/>
      <w:bookmarkEnd w:id="333"/>
    </w:p>
    <w:tbl>
      <w:tblPr>
        <w:tblW w:w="7960" w:type="dxa"/>
        <w:jc w:val="left"/>
        <w:tblInd w:w="0" w:type="dxa"/>
        <w:tblLayout w:type="fixed"/>
        <w:tblCellMar>
          <w:top w:w="0" w:type="dxa"/>
          <w:left w:w="0" w:type="dxa"/>
          <w:bottom w:w="0" w:type="dxa"/>
          <w:right w:w="0" w:type="dxa"/>
        </w:tblCellMar>
      </w:tblPr>
      <w:tblGrid>
        <w:gridCol w:w="950"/>
        <w:gridCol w:w="7010"/>
      </w:tblGrid>
      <w:tr>
        <w:trPr/>
        <w:tc>
          <w:tcPr>
            <w:tcW w:w="950" w:type="dxa"/>
            <w:tcBorders/>
            <w:vAlign w:val="center"/>
          </w:tcPr>
          <w:p>
            <w:pPr>
              <w:pStyle w:val="TableContents"/>
              <w:bidi w:val="0"/>
              <w:spacing w:before="0" w:after="283"/>
              <w:jc w:val="left"/>
              <w:rPr>
                <w:b/>
              </w:rPr>
            </w:pPr>
            <w:r>
              <w:rPr>
                <w:b/>
              </w:rPr>
              <w:t>Item 9C.</w:t>
            </w:r>
          </w:p>
        </w:tc>
        <w:tc>
          <w:tcPr>
            <w:tcW w:w="7010" w:type="dxa"/>
            <w:tcBorders/>
            <w:vAlign w:val="center"/>
          </w:tcPr>
          <w:p>
            <w:pPr>
              <w:pStyle w:val="TableContents"/>
              <w:bidi w:val="0"/>
              <w:spacing w:before="0" w:after="0"/>
              <w:jc w:val="left"/>
              <w:rPr>
                <w:b/>
              </w:rPr>
            </w:pPr>
            <w:r>
              <w:rPr>
                <w:b/>
              </w:rPr>
              <w:t>Disclosure Regarding Foreign Jurisdictions that Prevent Inspections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4" w:name="z768ea58e4f9b4adba7777793fff179b3"/>
      <w:bookmarkStart w:id="335" w:name="DirectorsExecutiveOfficer"/>
      <w:bookmarkStart w:id="336" w:name="z768ea58e4f9b4adba7777793fff179b3"/>
      <w:bookmarkStart w:id="337" w:name="DirectorsExecutiveOfficer"/>
      <w:bookmarkEnd w:id="336"/>
      <w:bookmarkEnd w:id="337"/>
    </w:p>
    <w:tbl>
      <w:tblPr>
        <w:tblW w:w="6760" w:type="dxa"/>
        <w:jc w:val="left"/>
        <w:tblInd w:w="0" w:type="dxa"/>
        <w:tblLayout w:type="fixed"/>
        <w:tblCellMar>
          <w:top w:w="0" w:type="dxa"/>
          <w:left w:w="0" w:type="dxa"/>
          <w:bottom w:w="0" w:type="dxa"/>
          <w:right w:w="0" w:type="dxa"/>
        </w:tblCellMar>
      </w:tblPr>
      <w:tblGrid>
        <w:gridCol w:w="890"/>
        <w:gridCol w:w="5870"/>
      </w:tblGrid>
      <w:tr>
        <w:trPr/>
        <w:tc>
          <w:tcPr>
            <w:tcW w:w="890" w:type="dxa"/>
            <w:tcBorders/>
            <w:vAlign w:val="center"/>
          </w:tcPr>
          <w:p>
            <w:pPr>
              <w:pStyle w:val="TableContents"/>
              <w:bidi w:val="0"/>
              <w:spacing w:before="0" w:after="283"/>
              <w:jc w:val="left"/>
              <w:rPr>
                <w:b/>
              </w:rPr>
            </w:pPr>
            <w:r>
              <w:rPr>
                <w:b/>
              </w:rPr>
              <w:t>Item 10.</w:t>
            </w:r>
          </w:p>
        </w:tc>
        <w:tc>
          <w:tcPr>
            <w:tcW w:w="5870" w:type="dxa"/>
            <w:tcBorders/>
            <w:vAlign w:val="center"/>
          </w:tcPr>
          <w:p>
            <w:pPr>
              <w:pStyle w:val="TableContents"/>
              <w:bidi w:val="0"/>
              <w:spacing w:before="0" w:after="0"/>
              <w:jc w:val="left"/>
              <w:rPr>
                <w:b/>
              </w:rPr>
            </w:pPr>
            <w:r>
              <w:rPr>
                <w:b/>
              </w:rPr>
              <w:t>Directors, Executive Officers and Corporate Governance</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following sets forth the names, ages, positions, and biographies as of October 1, 2026 of the members of the Company’s Board of Directors and the Company’s executive officers: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8" w:name="z0cad1456def44a03bc18b9eaeecd8dda"/>
      <w:bookmarkStart w:id="339" w:name="z0cad1456def44a03bc18b9eaeecd8dda"/>
      <w:bookmarkEnd w:id="339"/>
    </w:p>
    <w:tbl>
      <w:tblPr>
        <w:tblW w:w="8670" w:type="dxa"/>
        <w:jc w:val="left"/>
        <w:tblInd w:w="0" w:type="dxa"/>
        <w:tblLayout w:type="fixed"/>
        <w:tblCellMar>
          <w:top w:w="0" w:type="dxa"/>
          <w:left w:w="0" w:type="dxa"/>
          <w:bottom w:w="28" w:type="dxa"/>
          <w:right w:w="0" w:type="dxa"/>
        </w:tblCellMar>
      </w:tblPr>
      <w:tblGrid>
        <w:gridCol w:w="2060"/>
        <w:gridCol w:w="90"/>
        <w:gridCol w:w="455"/>
        <w:gridCol w:w="90"/>
        <w:gridCol w:w="5975"/>
      </w:tblGrid>
      <w:tr>
        <w:trPr/>
        <w:tc>
          <w:tcPr>
            <w:tcW w:w="2060" w:type="dxa"/>
            <w:tcBorders>
              <w:bottom w:val="single" w:sz="12" w:space="0" w:color="000000"/>
            </w:tcBorders>
            <w:vAlign w:val="center"/>
          </w:tcPr>
          <w:p>
            <w:pPr>
              <w:pStyle w:val="TableContents"/>
              <w:bidi w:val="0"/>
              <w:spacing w:before="0" w:after="0"/>
              <w:jc w:val="center"/>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0"/>
              <w:jc w:val="center"/>
              <w:rPr>
                <w:b/>
              </w:rPr>
            </w:pPr>
            <w:r>
              <w:rPr>
                <w:b/>
              </w:rPr>
              <w:t>Age</w:t>
            </w:r>
          </w:p>
        </w:tc>
        <w:tc>
          <w:tcPr>
            <w:tcW w:w="90" w:type="dxa"/>
            <w:tcBorders/>
            <w:tcMar>
              <w:bottom w:w="0" w:type="dxa"/>
            </w:tcMar>
            <w:vAlign w:val="center"/>
          </w:tcPr>
          <w:p>
            <w:pPr>
              <w:pStyle w:val="TableContents"/>
              <w:bidi w:val="0"/>
              <w:spacing w:before="0" w:after="283"/>
              <w:jc w:val="left"/>
              <w:rPr/>
            </w:pPr>
            <w:r>
              <w:rPr/>
              <w:t> </w:t>
            </w:r>
          </w:p>
        </w:tc>
        <w:tc>
          <w:tcPr>
            <w:tcW w:w="5975" w:type="dxa"/>
            <w:tcBorders>
              <w:bottom w:val="single" w:sz="12" w:space="0" w:color="000000"/>
            </w:tcBorders>
            <w:vAlign w:val="center"/>
          </w:tcPr>
          <w:p>
            <w:pPr>
              <w:pStyle w:val="TableContents"/>
              <w:bidi w:val="0"/>
              <w:spacing w:before="0" w:after="0"/>
              <w:jc w:val="center"/>
              <w:rPr>
                <w:b/>
              </w:rPr>
            </w:pPr>
            <w:r>
              <w:rPr>
                <w:b/>
              </w:rPr>
              <w:t>Position with the Company</w:t>
            </w:r>
          </w:p>
        </w:tc>
      </w:tr>
      <w:tr>
        <w:trPr/>
        <w:tc>
          <w:tcPr>
            <w:tcW w:w="2060" w:type="dxa"/>
            <w:tcBorders/>
            <w:shd w:fill="CCEEFF" w:val="clear"/>
            <w:tcMar>
              <w:bottom w:w="0" w:type="dxa"/>
            </w:tcMar>
            <w:vAlign w:val="center"/>
          </w:tcPr>
          <w:p>
            <w:pPr>
              <w:pStyle w:val="TableContents"/>
              <w:bidi w:val="0"/>
              <w:spacing w:before="0" w:after="0"/>
              <w:jc w:val="left"/>
              <w:rPr/>
            </w:pPr>
            <w:r>
              <w:rPr/>
              <w:t>Hilton H. Howell, Jr.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right"/>
              <w:rPr/>
            </w:pPr>
            <w:r>
              <w:rPr/>
              <w:t>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0"/>
              <w:jc w:val="left"/>
              <w:rPr/>
            </w:pPr>
            <w:r>
              <w:rPr/>
              <w:t>Chairman of the Board, President and Chief Executive Officer</w:t>
            </w:r>
          </w:p>
        </w:tc>
      </w:tr>
      <w:tr>
        <w:trPr/>
        <w:tc>
          <w:tcPr>
            <w:tcW w:w="2060" w:type="dxa"/>
            <w:tcBorders/>
            <w:tcMar>
              <w:bottom w:w="0" w:type="dxa"/>
            </w:tcMar>
            <w:vAlign w:val="center"/>
          </w:tcPr>
          <w:p>
            <w:pPr>
              <w:pStyle w:val="TableContents"/>
              <w:bidi w:val="0"/>
              <w:spacing w:before="0" w:after="0"/>
              <w:jc w:val="left"/>
              <w:rPr/>
            </w:pPr>
            <w:r>
              <w:rPr/>
              <w:t>Robin R. Howell</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right"/>
              <w:rPr/>
            </w:pPr>
            <w:r>
              <w:rPr/>
              <w:t>62</w:t>
            </w:r>
          </w:p>
        </w:tc>
        <w:tc>
          <w:tcPr>
            <w:tcW w:w="9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0"/>
              <w:jc w:val="left"/>
              <w:rPr/>
            </w:pPr>
            <w:r>
              <w:rPr/>
              <w:t>Director</w:t>
            </w:r>
          </w:p>
        </w:tc>
      </w:tr>
      <w:tr>
        <w:trPr/>
        <w:tc>
          <w:tcPr>
            <w:tcW w:w="2060" w:type="dxa"/>
            <w:tcBorders/>
            <w:shd w:fill="CCEEFF" w:val="clear"/>
            <w:tcMar>
              <w:bottom w:w="0" w:type="dxa"/>
            </w:tcMar>
            <w:vAlign w:val="center"/>
          </w:tcPr>
          <w:p>
            <w:pPr>
              <w:pStyle w:val="TableContents"/>
              <w:bidi w:val="0"/>
              <w:spacing w:before="0" w:after="0"/>
              <w:jc w:val="left"/>
              <w:rPr/>
            </w:pPr>
            <w:r>
              <w:rPr/>
              <w:t>Mark E. Preisinger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right"/>
              <w:rPr/>
            </w:pPr>
            <w:r>
              <w:rPr/>
              <w:t>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0"/>
              <w:jc w:val="left"/>
              <w:rPr/>
            </w:pPr>
            <w:r>
              <w:rPr/>
              <w:t>Director</w:t>
            </w:r>
          </w:p>
        </w:tc>
      </w:tr>
      <w:tr>
        <w:trPr/>
        <w:tc>
          <w:tcPr>
            <w:tcW w:w="2060" w:type="dxa"/>
            <w:tcBorders/>
            <w:tcMar>
              <w:bottom w:w="0" w:type="dxa"/>
            </w:tcMar>
            <w:vAlign w:val="center"/>
          </w:tcPr>
          <w:p>
            <w:pPr>
              <w:pStyle w:val="TableContents"/>
              <w:bidi w:val="0"/>
              <w:spacing w:before="0" w:after="0"/>
              <w:jc w:val="left"/>
              <w:rPr/>
            </w:pPr>
            <w:r>
              <w:rPr/>
              <w:t>Joseph M. Scheerer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right"/>
              <w:rPr/>
            </w:pPr>
            <w:r>
              <w:rPr/>
              <w:t>52</w:t>
            </w:r>
          </w:p>
        </w:tc>
        <w:tc>
          <w:tcPr>
            <w:tcW w:w="9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0"/>
              <w:jc w:val="left"/>
              <w:rPr/>
            </w:pPr>
            <w:r>
              <w:rPr/>
              <w:t>Director</w:t>
            </w:r>
          </w:p>
        </w:tc>
      </w:tr>
      <w:tr>
        <w:trPr/>
        <w:tc>
          <w:tcPr>
            <w:tcW w:w="2060" w:type="dxa"/>
            <w:tcBorders/>
            <w:shd w:fill="CCEEFF" w:val="clear"/>
            <w:tcMar>
              <w:bottom w:w="0" w:type="dxa"/>
            </w:tcMar>
            <w:vAlign w:val="center"/>
          </w:tcPr>
          <w:p>
            <w:pPr>
              <w:pStyle w:val="TableContents"/>
              <w:bidi w:val="0"/>
              <w:spacing w:before="0" w:after="0"/>
              <w:jc w:val="left"/>
              <w:rPr/>
            </w:pPr>
            <w:r>
              <w:rPr/>
              <w:t>Scott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right"/>
              <w:rPr/>
            </w:pPr>
            <w:r>
              <w:rPr/>
              <w:t>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0"/>
              <w:jc w:val="left"/>
              <w:rPr/>
            </w:pPr>
            <w:r>
              <w:rPr/>
              <w:t>Director</w:t>
            </w:r>
          </w:p>
        </w:tc>
      </w:tr>
      <w:tr>
        <w:trPr/>
        <w:tc>
          <w:tcPr>
            <w:tcW w:w="2060" w:type="dxa"/>
            <w:tcBorders/>
            <w:tcMar>
              <w:bottom w:w="0" w:type="dxa"/>
            </w:tcMar>
            <w:vAlign w:val="center"/>
          </w:tcPr>
          <w:p>
            <w:pPr>
              <w:pStyle w:val="TableContents"/>
              <w:bidi w:val="0"/>
              <w:spacing w:before="0" w:after="0"/>
              <w:jc w:val="left"/>
              <w:rPr/>
            </w:pPr>
            <w:r>
              <w:rPr/>
              <w:t>D. Keehln Wheeler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right"/>
              <w:rPr/>
            </w:pPr>
            <w:r>
              <w:rPr/>
              <w:t>65</w:t>
            </w:r>
          </w:p>
        </w:tc>
        <w:tc>
          <w:tcPr>
            <w:tcW w:w="9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0"/>
              <w:jc w:val="left"/>
              <w:rPr/>
            </w:pPr>
            <w:r>
              <w:rPr/>
              <w:t>Director</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biographies below contain information regarding, as applicable, the person’s service as a director to the Company, business, educational, and other professional experience, director positions with any other “publicly traded” company held currently or at any time during the last five years, information regarding involvement in certain legal or administrative proceedings, if applicable, during the last ten years, and the experiences, qualifications, attributes or skills that caused the Board to determine that the person should be nominated to serve as a Director of the Company. The Company believes that the backgrounds and qualifications of its Directors, considered as a group at any time, should provide diverse business and professional capabilities, along with the experience, knowledge and other abilities that will allow the Board to effectively fulfill its responsibilities.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Hilton H. Howell, Jr.</w:t>
      </w:r>
      <w:r>
        <w:rPr>
          <w:rFonts w:ascii="Times New Roman" w:hAnsi="Times New Roman"/>
          <w:sz w:val="20"/>
        </w:rPr>
        <w:t xml:space="preserve"> has been President and Chief Executive Officer of the Company since May 1995 and prior thereto served as Executive Vice President of the Company from October 1992 to May 1995. During his tenure with the Company, Mr. Howell has also served in various capacities for the Company’s subsidiaries. He is actively engaged in key decision making of each of the Company’s operating subsidiaries and has longstanding relationships with not only the Company’s employees but a significant number of the Company’s subsidiaries’ independent agents. He has been a Director of the Company since October 1992 and, beginning in February 2009, assumed the role of Chairman of the Board of Directors. Mr. Howell also serves as the executive chairman and chief executive officer, and a director, of Gray Media, Inc., (formerly Gray Television, Inc., “Gray”) a leading media company. Given the size of the Company and the scope of its operations, the Board of Directors has concluded that Mr. Howell, due to his high level of involvement, can serve effectively roles of Chairman of the Board, President and Chief Executive Officer. In addition to being very familiar with our Company, Mr. Howell is also a former attorney. His background provides additional perspective to the decisions facing not only our Company but also the Board of Directors. Mr. Howell has also been actively involved in various segments of the insurance industry throughout his career, resulting in significant depth and breadth of industry knowledge, which is beneficial to the Board of Directors. Mr. Howell is the son-in-law of Harriett J. Robinson, the estate of whom is a greater than 5% holder of the outstanding shares of Common Stock of the Company. He is also Mrs. Howell’s husband.</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b/>
          <w:sz w:val="20"/>
        </w:rPr>
        <w:t xml:space="preserve">Robin R. Howell </w:t>
      </w:r>
      <w:r>
        <w:rPr>
          <w:rFonts w:ascii="Times New Roman" w:hAnsi="Times New Roman"/>
          <w:sz w:val="20"/>
        </w:rPr>
        <w:t>has been a Director of the Company since May 2012. She has served as Vice President and a Director of both Delta Life Insurance Company and Delta Fire &amp; Casualty Insurance Company since 1992. Mrs. Howell also serves on the board of Gray. She is a former Chairman of the Board of Farmer’s and Merchant’s Bank and a former director of Premier Bancshares, Inc. She received a BA in Economics from the University of Virginia and a Masters of Business Administration from the University of Texas at Austin, and she has held a number of management and oversight roles in various businesses in which her family maintains an interest. Mrs. Howell is active in the community, including having served as Chair of the Board of Directors and Executive Committee of the High Museum of Art, on the Governing Board of the Woodruff Arts Center, and on the Board of Trustees of the Forward Arts Foundation. Mrs. Howell’s experience in board matters and the insurance industry and involvement at the executive level in various businesses is invaluable to the Board, and her numerous civic, social and academic associations provides valuable insight for the Company and elevates the Company’s profile in the community. Mrs. Howell is the wife of Mr. Howell and the daughter of Mrs. Robinson.</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Mark E. Preisinger</w:t>
      </w:r>
      <w:r>
        <w:rPr>
          <w:rFonts w:ascii="Times New Roman" w:hAnsi="Times New Roman"/>
          <w:sz w:val="20"/>
        </w:rPr>
        <w:t xml:space="preserve"> has been a Director of the Company since March 2016. He is the Director of Corporate Governance for The Coca-Cola Company, a beverage company with products sold in more than 200 countries and territories. In this capacity, his responsibilities include coordinating engagement between the company and its institutional and retail shareholders. He joined The Coca-Cola Company in 1984 and has managed a variety of domestic and international assignments for the business. Mr. Preisinger is an Emeritus member of the Advisory Board of the Weinberg Center for Corporate Governance at the University of Delaware. He is a past member of the New York Stock Exchange Listed Company Advisory Board and the Board of Governors of the International Corporate Governance Network. He is also a past Co-Chairman of the Council of Institutional Investors and he has been listed on the NACD 100 most influential people in the boardroom. The Board believes Mr. Preisinger’s significant experience and insight into executive and corporate governance matters greatly benefit the Board and complement its perspectives.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Joseph M. Scheerer</w:t>
      </w:r>
      <w:r>
        <w:rPr>
          <w:rFonts w:ascii="Times New Roman" w:hAnsi="Times New Roman"/>
          <w:sz w:val="20"/>
        </w:rPr>
        <w:t xml:space="preserve"> has been a Director of the Company since December 2014. Mr. Scheerer is the Chief Executive Officer of Stonybrook Capital &amp; Risk Management, which was founded in 2012 and is a global specialist investment banking firm focused on the insurance industry. Mr. Scheerer is also a frequent speaker on the state of the insurance and reinsurance industries. Mr. Scheerer currently serves on the board of directors of AM Specialty Insurance Company and previously served on the board of directors of Irongate Reinsurance Company and Insurance Acquisition Corporation, of which he also served on the compensation committee. He is also the chairman of the investment and advisory committee of the Inter-Atlantic Stonybrook Insurance Technology fund. Mr. Scheerer graduated from the University of Pennsylvania with a Bachelor of Arts in Economics and International Relations. His extensive knowledge of the insurance industry provides valuable insight and perspective to the Board and is also a benefit and resource for management.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Scott G. Thompson</w:t>
      </w:r>
      <w:r>
        <w:rPr>
          <w:rFonts w:ascii="Times New Roman" w:hAnsi="Times New Roman"/>
          <w:sz w:val="20"/>
        </w:rPr>
        <w:t xml:space="preserve"> has been a Director of the Company since February 1996. He serves as Chairman of the Board for American Southern Insurance Company, a subsidiary of the Company. He had been the President and Chief Executive Officer of that company from 2004 to 2025; prior thereto he had been the President and Chief Financial Officer of that company since 1984. Mr. Thompson is a certified public accountant and has been employed by American Southern for substantially his entire career. His insights with respect to American Southern’s business model, its historical operations and the perspective on its niche products provide valuable insight to the Board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D. Keehln Wheeler</w:t>
      </w:r>
      <w:r>
        <w:rPr>
          <w:rFonts w:ascii="Times New Roman" w:hAnsi="Times New Roman"/>
          <w:sz w:val="20"/>
        </w:rPr>
        <w:t xml:space="preserve"> has been a Director of the Company since June 2015. He is the Founder and former Chief Executive Officer of MaxMedia, a digital media marketing and branding agency based in Atlanta, Georgia which he founded in 1996. Mr. Wheeler has founded, or was a member of the board of, a number of successful companies. Mr. Wheeler’s prior board experience and his executive leadership and success in various digital media marketing and branding experiences provide additional expanded perspectives to the Board of Directors.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Board Leadership and Structure, and Risk Oversight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is a “controlled company” and has historically experienced limited turnover in its senior management and Board of Directors. The Company maintains a board leadership structure under which our President and Chief Executive Officer (“CEO”) also serves as the Chairman of the Board of Directors. We believe that the Company, like many other publicly-traded and private companies, is well-served by this leadership structure. Having one person serve as both CEO and Chairman of the Board demonstrates for our employees, agents, suppliers, customers and other shareholders that our Company is under strong leadership, with a single person setting the tone and having primary responsibility for managing our operations and guiding our strategic efforts. We believe having a single leader for both the Company and the Board of Directors eliminates the potential for confusion or duplication of efforts, and provides clear direction and leadership for our Company. We believe that having one person serve as CEO and Chairman of the Board is appropriate and in the best interests of our Company and our shareholders at this time.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Board has not formally designated a lead independent director and believes that as a result thereof, executive sessions of the Board, which are attended solely by independent directors, result in an open and free flow of discussion of any and all matters that any director may believe relevant to the Company and/or its management.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Company believes that its leadership structure appropriately allows all directors to effectively participate in the provision of risk oversight. While the Board maintains oversight responsibility for the management of the Company’s risks, it has delegated oversight responsibility for certain areas of potential exposure to the Audit Committee. The Audit Committee oversees the accounting and financial reporting processes of the Company, as well as legal and compliance matters and risk management. The Audit Committee charter provides that the Audit Committee is responsible for overseeing the internal controls of the Company along with its adherence to compliance and regulatory requirements. The Audit Committee also reviews and approves all transactions with related parties. On at least a quarterly basis, the Audit Committee receives a comprehensive report regarding the Company’s risk management activities. While the Audit Committee has been delegated primary responsibility for overseeing risk management, our entire Board of Directors is actively involved in overseeing this function for the Company. The full Board also engages in periodic discussions with the CEO, Chief Financial Officer (“CFO”), executive management of each of the Company’s operating subsidiaries and other corporate officers as the Board may deem appropriate or desirable. In addition, the Stock Option and Compensation Committee assists the Board in considering and evaluating potential risks that may arise through the implementation of our compensation programs and engages directly with all Board members, as and if necessary. We do not believe our compensation programs encourage unnecessary or excessive risk taking.</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believes that its leadership structure promotes effective Board oversight of risk management because the Board directly, and through its various committees, is regularly provided by management the information necessary to appropriately monitor, evaluate and assess the Company’s overall risk management.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Pursuant to our bylaws (the “Bylaws”), any director who is an “independent director” under the listing standards of the Nasdaq Stock Market (the “Nasdaq Rules”) and not a member of the family of the controlling shareholder of the Company shall offer to resign from the Board upon reaching age 72 and not be eligible to stand for reelection to the Board following such individual having reached age 72, absent a waiver from such requirement, which waiver may only be granted by affirmative vote of the majority of the members of the Board, not including the affected member.</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Committees of the Board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As a result of the level of beneficial ownership of our Common Stock by members of the Robinson and Howell families and their affiliates, the Company meets the definition of a “controlled company” as defined pursuant to Rule 5615(c)(1) of the Nasdaq Rules. Accordingly, the Company is exempt from certain requirements of the Nasdaq Rules, including the requirement that a majority of its Board of Directors be independent, as defined in such rules, the requirement that director nominees be selected, or recommended for the board’s selection, by either a majority of the independent directors or a nominating committee comprised solely of independent directors, and certain requirements relating to the determination of executive officer compensation. Notwithstanding this, however, the Board of Directors has determined that the following individuals are independent pursuant to the Nasdaq Rules for purposes of serving as a member of the Board of Directors: Mark E. Preisinger, Joseph M. Scheerer and D. Keehln Wheeler.</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Board of Directors of the Company has three standing committees: the Executive Committee, the Stock Option and Compensation Committee and the Audit Committee.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Executive Committee consists of Messrs. Howell and Wheeler, and Mrs. Howell. The Executive Committee’s function is to act in the place and stead of the Board of Directors to the extent permitted by law on matters which require Board action between meetings of the Board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Stock Option and Compensation Committee consists of Messrs. Wheeler, Scheerer and Preisinger (Chairman), who are each independent pursuant to the Nasdaq Rules. The Stock Option and Compensation Committee’s function is to establish the number of equity incentive awards to be granted to officers and key employees and the annual salaries and bonus amounts payable to executive officers of the Company. The Stock Option and Compensation Committee met one time during 2025. Due to its status as a “controlled company” pursuant to Nasdaq Rules and the related historically low turnover among Board and Committee members, as well as among the Company’s executive officers, the Board has not foreseen a need to adopt a written charter to govern the Stock Option and Compensation Committee’s functions or to engage a compensation consultant. The committee maintains the sole authority to fulfill its responsibilities and has not delegated any responsibilities except that the Committee may from time to time authorize one or more officers of the Company to designate employees (other than executive officers of the Company) to receive awards under the Company’s 2022 Equity and Incentive Compensation Plan (the “2022 Plan”) and to determine the size of such awards, subject to the limitations set forth in the 2022 Plan. During the course of the committee’s decision process regarding compensation for the executive officers, the committee may seek input from Mr. Howell with respect to the performance of the other officers and other factors to consider in making compensation decisions.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Audit Committee is currently composed of Messrs. Wheeler (Chairman), Scheerer and Preisinger. The Audit Committee oversees the Company’s (i) financial reports and other financial information; (ii) systems of internal controls regarding finance, accounting, legal compliance and ethics; and (iii) auditing, accounting and financial reporting processes.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Board of Directors has determined that all members of the Audit Committee are independent for purposes of being an Audit Committee member, and financially literate, as such terms are defined in the Nasdaq Rules and the rules of the SEC. In addition, the Board of Directors has determined that Mr. Scheerer is an “audit committee financial expert” as defined by the SEC in Item 407(d) of Regulation S-K. In making such determination, the Board took into consideration, among other things, the express provision in Item 407(d) of Regulation S-K that the determination that a person is an audit committee financial expert shall not impose any greater responsibility or liability on that person than the responsibility and liability imposed on such person as a member of the Audit Committee, nor shall it affect the duties and obligations of other Audit Committee members or the Board of Directors. The Audit Committee has a written charter which sets out its authority and responsibilities, a copy of which is available on the Company’s website, www.atlam.com. The Audit Committee met five times during 2025.</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Due to its status as a controlled company pursuant to Nasdaq Rules and the related historically small turnover of its members, the Board has not historically foreseen the need to establish a separate nominating committee or adopt a written charter to govern the director nomination process. The Company’s controlling shareholder and the Board of Directors have generally addressed the need to retain members and fill vacancies after discussion among current members, or the members of the Executive Committee, if necessary, in lieu of the full Board, and the Company’s management, with the input from the Company’s controlling shareholder. The Board of Directors does not have any specific qualifications that are required to be met by director candidates and does not have a formal process for identifying and evaluating director candidates.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Additionally, the Board of Directors does not have a formal policy with respect to the consideration of any director candidates recommended by shareholders and, for the foregoing reasons, has determined that it is appropriate not to have such a formal policy at this time. The Board of Directors, however, will give due consideration to director candidates recommended by shareholders. Any shareholder that wishes to nominate a director candidate should submit complete information as to the identity and qualifications of the director candidate to the Board of Directors, including all information that would be required to be disclosed about that person in a proxy statement relating to the election of directors, at the address and in the manner set forth below for communication with the Board.</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Executive sessions of the independent members of the Board of Directors are held as needed and determined by those Directors at the conclusion of each of the regular board meetings, but no less than annually at the first regular Board meeting in each calendar year.</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Board of Directors met four times in 2025. Each current Director attended all of the meetings of the Board and its committees of which he or she was a member during 2025. The Company does not have a formal policy regarding Director attendance at its annual meetings, but attendance by the Directors is encouraged and expected. At the Company’s 2025 annual meeting of shareholders, all of the Company’s directors were in attendance.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Shareholders may communicate with members of the Board of Directors by mail addressed to the full Board of Directors, a specific member of the Board of Directors or a particular committee of the Board of Directors, at Atlantic American Corporation, 4370 Peachtree Road, N.E., Atlanta, Georgia 30319.</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Section 16(a) Beneficial Ownership Reporting Compliance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Under the securities laws of the United States, the Company’s directors, executive officers, and any persons holding more than ten percent of any class of the Company’s equity securities registered pursuant to the Exchange Act are required to file with the SEC initial reports of ownership and reports of changes of ownership of Common Stock of the Company, and to furnish the Company with copies of such reports. To the Company’s knowledge, all such filings were timely completed during the year ended December 31, 2025. In making this determination, the Company has relied on written representations of its directors and executive officers and its receipt of copies of the reports that have been filed with the SEC.</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Code of Business Conduct and Ethics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adopted a Code of Business Conduct and Ethics that applies to its principal executive officer, principal financial officer, principal accounting officer or controller, or any persons performing similar functions, as well as its directors and other employees. A copy of this Code of Business Conduct and Ethics has been filed as an exhibit to this annual report on Form 10-K.</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Insider Trading Policy</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an insider trading policy governing the purchase, sale and other dispositions of the Company’s securities that applies to all Company directors, officers and employees.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the Company’s Annual Report on Form 10-K.</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340" w:name="zddafc631559e429bafc9a52d60b8d3ec"/>
      <w:bookmarkStart w:id="341" w:name="ExecutiveCompensation"/>
      <w:bookmarkStart w:id="342" w:name="zddafc631559e429bafc9a52d60b8d3ec"/>
      <w:bookmarkStart w:id="343" w:name="ExecutiveCompensation"/>
      <w:bookmarkEnd w:id="342"/>
      <w:bookmarkEnd w:id="343"/>
    </w:p>
    <w:tbl>
      <w:tblPr>
        <w:tblW w:w="3505" w:type="dxa"/>
        <w:jc w:val="left"/>
        <w:tblInd w:w="0" w:type="dxa"/>
        <w:tblLayout w:type="fixed"/>
        <w:tblCellMar>
          <w:top w:w="0" w:type="dxa"/>
          <w:left w:w="0" w:type="dxa"/>
          <w:bottom w:w="0" w:type="dxa"/>
          <w:right w:w="0" w:type="dxa"/>
        </w:tblCellMar>
      </w:tblPr>
      <w:tblGrid>
        <w:gridCol w:w="890"/>
        <w:gridCol w:w="2615"/>
      </w:tblGrid>
      <w:tr>
        <w:trPr/>
        <w:tc>
          <w:tcPr>
            <w:tcW w:w="890" w:type="dxa"/>
            <w:tcBorders/>
            <w:vAlign w:val="center"/>
          </w:tcPr>
          <w:p>
            <w:pPr>
              <w:pStyle w:val="TableContents"/>
              <w:bidi w:val="0"/>
              <w:spacing w:before="0" w:after="0"/>
              <w:jc w:val="both"/>
              <w:rPr>
                <w:b/>
              </w:rPr>
            </w:pPr>
            <w:r>
              <w:rPr>
                <w:b/>
              </w:rPr>
              <w:t>Item 11.</w:t>
            </w:r>
          </w:p>
        </w:tc>
        <w:tc>
          <w:tcPr>
            <w:tcW w:w="2615" w:type="dxa"/>
            <w:tcBorders/>
            <w:vAlign w:val="center"/>
          </w:tcPr>
          <w:p>
            <w:pPr>
              <w:pStyle w:val="TableContents"/>
              <w:bidi w:val="0"/>
              <w:spacing w:before="0" w:after="0"/>
              <w:jc w:val="both"/>
              <w:rPr>
                <w:b/>
              </w:rPr>
            </w:pPr>
            <w:r>
              <w:rPr>
                <w:b/>
              </w:rPr>
              <w:t>Executive Compensation</w:t>
            </w:r>
          </w:p>
        </w:tc>
      </w:tr>
    </w:tbl>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2025 Summary Compensation Table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There is shown below information concerning the annual compensation for services in all capacities to the Company and its subsidiaries for the fiscal years ended December 31, 2025 and 2024 by the: (i) Chairman, President and Chief Executive Officer of the Company and (ii) the former Chief Financial Officer of the Company, who were the only executive officers of the Company during 2025 (together, the “named executive officers”):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0"/>
        <w:gridCol w:w="90"/>
        <w:gridCol w:w="647"/>
        <w:gridCol w:w="90"/>
        <w:gridCol w:w="90"/>
        <w:gridCol w:w="1020"/>
        <w:gridCol w:w="90"/>
        <w:gridCol w:w="90"/>
        <w:gridCol w:w="90"/>
        <w:gridCol w:w="830"/>
        <w:gridCol w:w="90"/>
        <w:gridCol w:w="90"/>
        <w:gridCol w:w="90"/>
        <w:gridCol w:w="860"/>
        <w:gridCol w:w="90"/>
        <w:gridCol w:w="90"/>
        <w:gridCol w:w="90"/>
        <w:gridCol w:w="1520"/>
        <w:gridCol w:w="341"/>
        <w:gridCol w:w="90"/>
        <w:gridCol w:w="90"/>
        <w:gridCol w:w="1010"/>
        <w:gridCol w:w="137"/>
      </w:tblGrid>
      <w:tr>
        <w:trPr/>
        <w:tc>
          <w:tcPr>
            <w:tcW w:w="2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580" w:type="dxa"/>
            <w:vMerge w:val="restart"/>
            <w:tcBorders>
              <w:bottom w:val="single" w:sz="12" w:space="0" w:color="000000"/>
            </w:tcBorders>
            <w:tcMar>
              <w:bottom w:w="28" w:type="dxa"/>
            </w:tcMar>
            <w:vAlign w:val="center"/>
          </w:tcPr>
          <w:p>
            <w:pPr>
              <w:pStyle w:val="TableContents"/>
              <w:bidi w:val="0"/>
              <w:spacing w:before="0" w:after="0"/>
              <w:jc w:val="center"/>
              <w:rPr/>
            </w:pPr>
            <w:r>
              <w:rPr>
                <w:b/>
              </w:rPr>
              <w:t>Name and Principal Position</w:t>
            </w:r>
            <w:r>
              <w:rPr/>
              <w:t xml:space="preserve"> </w:t>
            </w:r>
          </w:p>
        </w:tc>
        <w:tc>
          <w:tcPr>
            <w:tcW w:w="90" w:type="dxa"/>
            <w:tcBorders/>
            <w:vAlign w:val="center"/>
          </w:tcPr>
          <w:p>
            <w:pPr>
              <w:pStyle w:val="TableContents"/>
              <w:bidi w:val="0"/>
              <w:spacing w:before="0" w:after="283"/>
              <w:jc w:val="center"/>
              <w:rPr/>
            </w:pPr>
            <w:r>
              <w:rPr/>
              <w:t> </w:t>
            </w:r>
          </w:p>
        </w:tc>
        <w:tc>
          <w:tcPr>
            <w:tcW w:w="647"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Year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0"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Salary ($)</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0"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Bonus</w:t>
              <w:br/>
              <w:t>($)</w:t>
            </w:r>
            <w:r>
              <w:rPr>
                <w:b/>
                <w:position w:val="8"/>
                <w:sz w:val="19"/>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60" w:type="dxa"/>
            <w:vMerge w:val="restart"/>
            <w:tcBorders>
              <w:bottom w:val="single" w:sz="12" w:space="0" w:color="000000"/>
            </w:tcBorders>
            <w:tcMar>
              <w:bottom w:w="28" w:type="dxa"/>
            </w:tcMar>
            <w:vAlign w:val="center"/>
          </w:tcPr>
          <w:p>
            <w:pPr>
              <w:pStyle w:val="TableContents"/>
              <w:bidi w:val="0"/>
              <w:spacing w:before="0" w:after="283"/>
              <w:jc w:val="center"/>
              <w:rPr/>
            </w:pPr>
            <w:r>
              <w:rPr>
                <w:b/>
              </w:rPr>
              <w:t>Stock</w:t>
              <w:br/>
              <w:t>Awards</w:t>
              <w:br/>
              <w:t>($)</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vMerge w:val="restart"/>
            <w:tcBorders>
              <w:bottom w:val="single" w:sz="12" w:space="0" w:color="000000"/>
            </w:tcBorders>
            <w:tcMar>
              <w:bottom w:w="28" w:type="dxa"/>
            </w:tcMar>
            <w:vAlign w:val="center"/>
          </w:tcPr>
          <w:p>
            <w:pPr>
              <w:pStyle w:val="TableContents"/>
              <w:bidi w:val="0"/>
              <w:spacing w:before="0" w:after="283"/>
              <w:jc w:val="center"/>
              <w:rPr/>
            </w:pPr>
            <w:r>
              <w:rPr>
                <w:b/>
              </w:rPr>
              <w:t>All Other</w:t>
              <w:br/>
              <w:t>Compensation</w:t>
              <w:br/>
              <w:t>($)</w:t>
            </w:r>
            <w:r>
              <w:rPr/>
              <w:t xml:space="preserve"> </w:t>
            </w:r>
          </w:p>
        </w:tc>
        <w:tc>
          <w:tcPr>
            <w:tcW w:w="3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Total</w:t>
              <w:br/>
              <w:t>($)</w:t>
            </w:r>
            <w:r>
              <w:rPr>
                <w:b/>
                <w:position w:val="8"/>
                <w:sz w:val="19"/>
              </w:rPr>
              <w:t>(2)</w:t>
            </w:r>
          </w:p>
        </w:tc>
        <w:tc>
          <w:tcPr>
            <w:tcW w:w="137" w:type="dxa"/>
            <w:tcBorders/>
            <w:vAlign w:val="center"/>
          </w:tcPr>
          <w:p>
            <w:pPr>
              <w:pStyle w:val="TableContents"/>
              <w:bidi w:val="0"/>
              <w:spacing w:before="0" w:after="283"/>
              <w:jc w:val="center"/>
              <w:rPr/>
            </w:pPr>
            <w:r>
              <w:rPr/>
              <w:t> </w:t>
            </w:r>
          </w:p>
        </w:tc>
      </w:tr>
      <w:tr>
        <w:trPr/>
        <w:tc>
          <w:tcPr>
            <w:tcW w:w="258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47"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2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20" w:type="dxa"/>
            <w:vMerge w:val="continue"/>
            <w:tcBorders>
              <w:bottom w:val="single" w:sz="12" w:space="0" w:color="000000"/>
            </w:tcBorders>
            <w:tcMar>
              <w:bottom w:w="28" w:type="dxa"/>
            </w:tcMar>
            <w:vAlign w:val="center"/>
          </w:tcPr>
          <w:p>
            <w:pPr>
              <w:pStyle w:val="Normal"/>
              <w:bidi w:val="0"/>
              <w:jc w:val="left"/>
              <w:rPr/>
            </w:pPr>
            <w:r>
              <w:rPr/>
            </w:r>
          </w:p>
        </w:tc>
        <w:tc>
          <w:tcPr>
            <w:tcW w:w="3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137" w:type="dxa"/>
            <w:tcBorders/>
            <w:vAlign w:val="center"/>
          </w:tcPr>
          <w:p>
            <w:pPr>
              <w:pStyle w:val="TableContents"/>
              <w:bidi w:val="0"/>
              <w:spacing w:before="0" w:after="283"/>
              <w:jc w:val="center"/>
              <w:rPr/>
            </w:pPr>
            <w:r>
              <w:rPr/>
              <w:t> </w:t>
            </w:r>
          </w:p>
        </w:tc>
      </w:tr>
      <w:tr>
        <w:trPr/>
        <w:tc>
          <w:tcPr>
            <w:tcW w:w="2580" w:type="dxa"/>
            <w:tcBorders/>
            <w:shd w:fill="CCEEFF" w:val="clear"/>
            <w:vAlign w:val="center"/>
          </w:tcPr>
          <w:p>
            <w:pPr>
              <w:pStyle w:val="TableContents"/>
              <w:bidi w:val="0"/>
              <w:spacing w:before="0" w:after="0"/>
              <w:jc w:val="left"/>
              <w:rPr/>
            </w:pPr>
            <w:r>
              <w:rPr/>
              <w:t xml:space="preserve">Hilton H. Howell, Jr. </w:t>
            </w:r>
          </w:p>
        </w:tc>
        <w:tc>
          <w:tcPr>
            <w:tcW w:w="90" w:type="dxa"/>
            <w:tcBorders/>
            <w:shd w:fill="CCEEFF" w:val="clear"/>
            <w:vAlign w:val="center"/>
          </w:tcPr>
          <w:p>
            <w:pPr>
              <w:pStyle w:val="TableContents"/>
              <w:bidi w:val="0"/>
              <w:spacing w:before="0" w:after="283"/>
              <w:jc w:val="right"/>
              <w:rPr/>
            </w:pPr>
            <w:r>
              <w:rPr/>
              <w:t> </w:t>
            </w:r>
          </w:p>
        </w:tc>
        <w:tc>
          <w:tcPr>
            <w:tcW w:w="647" w:type="dxa"/>
            <w:tcBorders/>
            <w:shd w:fill="CCEEFF" w:val="clear"/>
            <w:vAlign w:val="center"/>
          </w:tcPr>
          <w:p>
            <w:pPr>
              <w:pStyle w:val="TableContents"/>
              <w:bidi w:val="0"/>
              <w:spacing w:before="0" w:after="283"/>
              <w:jc w:val="center"/>
              <w:rPr/>
            </w:pPr>
            <w:r>
              <w:rPr/>
              <w:t xml:space="preserve">2025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165,566</w:t>
            </w:r>
          </w:p>
        </w:tc>
        <w:tc>
          <w:tcPr>
            <w:tcW w:w="341" w:type="dxa"/>
            <w:tcBorders/>
            <w:shd w:fill="CCEEFF" w:val="clear"/>
            <w:vAlign w:val="center"/>
          </w:tcPr>
          <w:p>
            <w:pPr>
              <w:pStyle w:val="TableContents"/>
              <w:bidi w:val="0"/>
              <w:spacing w:before="0" w:after="283"/>
              <w:jc w:val="left"/>
              <w:rPr/>
            </w:pPr>
            <w:r>
              <w:rPr/>
              <w:t> </w:t>
            </w:r>
            <w:r>
              <w:rPr/>
              <w:t>(3)</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1,615,566</w:t>
            </w:r>
          </w:p>
        </w:tc>
        <w:tc>
          <w:tcPr>
            <w:tcW w:w="137" w:type="dxa"/>
            <w:tcBorders/>
            <w:shd w:fill="CCEEFF" w:val="clear"/>
            <w:vAlign w:val="center"/>
          </w:tcPr>
          <w:p>
            <w:pPr>
              <w:pStyle w:val="TableContents"/>
              <w:bidi w:val="0"/>
              <w:spacing w:before="0" w:after="283"/>
              <w:jc w:val="left"/>
              <w:rPr/>
            </w:pPr>
            <w:r>
              <w:rPr/>
              <w:t> </w:t>
            </w:r>
          </w:p>
        </w:tc>
      </w:tr>
      <w:tr>
        <w:trPr/>
        <w:tc>
          <w:tcPr>
            <w:tcW w:w="2580" w:type="dxa"/>
            <w:tcBorders/>
            <w:vAlign w:val="center"/>
          </w:tcPr>
          <w:p>
            <w:pPr>
              <w:pStyle w:val="TableContents"/>
              <w:bidi w:val="0"/>
              <w:spacing w:before="0" w:after="0"/>
              <w:jc w:val="left"/>
              <w:rPr/>
            </w:pPr>
            <w:r>
              <w:rPr/>
              <w:t xml:space="preserve">Chairman of the Board, President and CEO </w:t>
            </w:r>
          </w:p>
        </w:tc>
        <w:tc>
          <w:tcPr>
            <w:tcW w:w="90" w:type="dxa"/>
            <w:tcBorders/>
            <w:vAlign w:val="center"/>
          </w:tcPr>
          <w:p>
            <w:pPr>
              <w:pStyle w:val="TableContents"/>
              <w:bidi w:val="0"/>
              <w:spacing w:before="0" w:after="283"/>
              <w:jc w:val="right"/>
              <w:rPr/>
            </w:pPr>
            <w:r>
              <w:rPr/>
              <w:t> </w:t>
            </w:r>
          </w:p>
        </w:tc>
        <w:tc>
          <w:tcPr>
            <w:tcW w:w="647" w:type="dxa"/>
            <w:tcBorders/>
            <w:vAlign w:val="center"/>
          </w:tcPr>
          <w:p>
            <w:pPr>
              <w:pStyle w:val="TableContents"/>
              <w:bidi w:val="0"/>
              <w:spacing w:before="0" w:after="283"/>
              <w:jc w:val="center"/>
              <w:rPr/>
            </w:pPr>
            <w:r>
              <w:rPr/>
              <w:t xml:space="preserve">2024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594,792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165,116</w:t>
            </w:r>
          </w:p>
        </w:tc>
        <w:tc>
          <w:tcPr>
            <w:tcW w:w="3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1,559,908</w:t>
            </w:r>
          </w:p>
        </w:tc>
        <w:tc>
          <w:tcPr>
            <w:tcW w:w="137" w:type="dxa"/>
            <w:tcBorders/>
            <w:vAlign w:val="center"/>
          </w:tcPr>
          <w:p>
            <w:pPr>
              <w:pStyle w:val="TableContents"/>
              <w:bidi w:val="0"/>
              <w:spacing w:before="0" w:after="283"/>
              <w:jc w:val="left"/>
              <w:rPr/>
            </w:pPr>
            <w:r>
              <w:rPr/>
              <w:t> </w:t>
            </w:r>
          </w:p>
        </w:tc>
      </w:tr>
      <w:tr>
        <w:trPr/>
        <w:tc>
          <w:tcPr>
            <w:tcW w:w="2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2580" w:type="dxa"/>
            <w:tcBorders/>
            <w:vAlign w:val="center"/>
          </w:tcPr>
          <w:p>
            <w:pPr>
              <w:pStyle w:val="TableContents"/>
              <w:bidi w:val="0"/>
              <w:spacing w:before="0" w:after="0"/>
              <w:jc w:val="left"/>
              <w:rPr/>
            </w:pPr>
            <w:r>
              <w:rPr/>
              <w:t>J. Ross Franklin (4)</w:t>
            </w:r>
          </w:p>
        </w:tc>
        <w:tc>
          <w:tcPr>
            <w:tcW w:w="90" w:type="dxa"/>
            <w:tcBorders/>
            <w:vAlign w:val="center"/>
          </w:tcPr>
          <w:p>
            <w:pPr>
              <w:pStyle w:val="TableContents"/>
              <w:bidi w:val="0"/>
              <w:spacing w:before="0" w:after="283"/>
              <w:jc w:val="right"/>
              <w:rPr/>
            </w:pPr>
            <w:r>
              <w:rPr/>
              <w:t> </w:t>
            </w:r>
          </w:p>
        </w:tc>
        <w:tc>
          <w:tcPr>
            <w:tcW w:w="647" w:type="dxa"/>
            <w:tcBorders/>
            <w:vAlign w:val="center"/>
          </w:tcPr>
          <w:p>
            <w:pPr>
              <w:pStyle w:val="TableContents"/>
              <w:bidi w:val="0"/>
              <w:spacing w:before="0" w:after="283"/>
              <w:jc w:val="center"/>
              <w:rPr/>
            </w:pPr>
            <w:r>
              <w:rPr/>
              <w:t xml:space="preserve">2025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427,220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62,670</w:t>
            </w:r>
          </w:p>
        </w:tc>
        <w:tc>
          <w:tcPr>
            <w:tcW w:w="341" w:type="dxa"/>
            <w:tcBorders/>
            <w:vAlign w:val="center"/>
          </w:tcPr>
          <w:p>
            <w:pPr>
              <w:pStyle w:val="TableContents"/>
              <w:bidi w:val="0"/>
              <w:spacing w:before="0" w:after="283"/>
              <w:jc w:val="left"/>
              <w:rPr/>
            </w:pPr>
            <w:r>
              <w:rPr/>
              <w:t> </w:t>
            </w:r>
            <w:r>
              <w:rPr/>
              <w:t>(5)</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864,890</w:t>
            </w:r>
          </w:p>
        </w:tc>
        <w:tc>
          <w:tcPr>
            <w:tcW w:w="137" w:type="dxa"/>
            <w:tcBorders/>
            <w:vAlign w:val="center"/>
          </w:tcPr>
          <w:p>
            <w:pPr>
              <w:pStyle w:val="TableContents"/>
              <w:bidi w:val="0"/>
              <w:spacing w:before="0" w:after="283"/>
              <w:jc w:val="left"/>
              <w:rPr/>
            </w:pPr>
            <w:r>
              <w:rPr/>
              <w:t> </w:t>
            </w:r>
          </w:p>
        </w:tc>
      </w:tr>
      <w:tr>
        <w:trPr/>
        <w:tc>
          <w:tcPr>
            <w:tcW w:w="2580" w:type="dxa"/>
            <w:tcBorders/>
            <w:shd w:fill="CCEEFF" w:val="clear"/>
            <w:vAlign w:val="center"/>
          </w:tcPr>
          <w:p>
            <w:pPr>
              <w:pStyle w:val="TableContents"/>
              <w:bidi w:val="0"/>
              <w:spacing w:before="0" w:after="0"/>
              <w:jc w:val="left"/>
              <w:rPr/>
            </w:pPr>
            <w:r>
              <w:rPr/>
              <w:t xml:space="preserve">Former Vice President, CFO and Secretary </w:t>
            </w:r>
          </w:p>
        </w:tc>
        <w:tc>
          <w:tcPr>
            <w:tcW w:w="90" w:type="dxa"/>
            <w:tcBorders/>
            <w:shd w:fill="CCEEFF" w:val="clear"/>
            <w:vAlign w:val="center"/>
          </w:tcPr>
          <w:p>
            <w:pPr>
              <w:pStyle w:val="TableContents"/>
              <w:bidi w:val="0"/>
              <w:spacing w:before="0" w:after="283"/>
              <w:jc w:val="right"/>
              <w:rPr/>
            </w:pPr>
            <w:r>
              <w:rPr/>
              <w:t> </w:t>
            </w:r>
          </w:p>
        </w:tc>
        <w:tc>
          <w:tcPr>
            <w:tcW w:w="647" w:type="dxa"/>
            <w:tcBorders/>
            <w:shd w:fill="CCEEFF" w:val="clear"/>
            <w:vAlign w:val="center"/>
          </w:tcPr>
          <w:p>
            <w:pPr>
              <w:pStyle w:val="TableContents"/>
              <w:bidi w:val="0"/>
              <w:spacing w:before="0" w:after="283"/>
              <w:jc w:val="center"/>
              <w:rPr/>
            </w:pPr>
            <w:r>
              <w:rPr/>
              <w:t xml:space="preserve">2024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419,399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63,366</w:t>
            </w:r>
          </w:p>
        </w:tc>
        <w:tc>
          <w:tcPr>
            <w:tcW w:w="3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832,765</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 Discretionary bonuses awarded by the Stock Option and Compensation Committee.</w:t>
      </w:r>
    </w:p>
    <w:p>
      <w:pPr>
        <w:pStyle w:val="TextBody"/>
        <w:bidi w:val="0"/>
        <w:spacing w:before="0" w:after="0"/>
        <w:jc w:val="left"/>
        <w:rPr>
          <w:rFonts w:ascii="Times New Roman" w:hAnsi="Times New Roman"/>
          <w:sz w:val="20"/>
        </w:rPr>
      </w:pPr>
      <w:r>
        <w:rPr>
          <w:rFonts w:ascii="Times New Roman" w:hAnsi="Times New Roman"/>
          <w:sz w:val="20"/>
        </w:rPr>
        <w:t>(2) For Mr. Howell, does not include amounts he may be deemed to have received pursuant to certain related party transactions described below under “Certain Relationships and Related Person Transactions.”</w:t>
      </w:r>
    </w:p>
    <w:p>
      <w:pPr>
        <w:pStyle w:val="TextBody"/>
        <w:bidi w:val="0"/>
        <w:spacing w:before="0" w:after="0"/>
        <w:jc w:val="left"/>
        <w:rPr>
          <w:rFonts w:ascii="Times New Roman" w:hAnsi="Times New Roman"/>
          <w:sz w:val="20"/>
        </w:rPr>
      </w:pPr>
      <w:r>
        <w:rPr>
          <w:rFonts w:ascii="Times New Roman" w:hAnsi="Times New Roman"/>
          <w:sz w:val="20"/>
        </w:rPr>
        <w:t>(3) Includes fees paid in cash for serving as a director of the Company and subsidiaries of $134,000 (a portion of which would otherwise be reported in the “Fees Earned or Paid in Cash” column of the 2025 Director Compensation Table below) and 401(k) plan employer contributions of $31,500.</w:t>
      </w:r>
    </w:p>
    <w:p>
      <w:pPr>
        <w:pStyle w:val="TextBody"/>
        <w:bidi w:val="0"/>
        <w:spacing w:before="0" w:after="0"/>
        <w:jc w:val="left"/>
        <w:rPr>
          <w:rFonts w:ascii="Times New Roman" w:hAnsi="Times New Roman"/>
          <w:sz w:val="20"/>
        </w:rPr>
      </w:pPr>
      <w:r>
        <w:rPr>
          <w:rFonts w:ascii="Times New Roman" w:hAnsi="Times New Roman"/>
          <w:sz w:val="20"/>
        </w:rPr>
        <w:t>(4) Mr. Franklin resigned from his positions with the Company effective May 27, 2026.</w:t>
      </w:r>
    </w:p>
    <w:p>
      <w:pPr>
        <w:pStyle w:val="TextBody"/>
        <w:bidi w:val="0"/>
        <w:spacing w:before="0" w:after="0"/>
        <w:jc w:val="left"/>
        <w:rPr>
          <w:rFonts w:ascii="Times New Roman" w:hAnsi="Times New Roman"/>
          <w:sz w:val="20"/>
        </w:rPr>
      </w:pPr>
      <w:r>
        <w:rPr>
          <w:rFonts w:ascii="Times New Roman" w:hAnsi="Times New Roman"/>
          <w:sz w:val="20"/>
        </w:rPr>
        <w:t>(5) Includes fees paid in cash for serving as a director of subsidiaries of $24,000 and 401(k) plan employer contributions of $37,599.</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Additional Narrative Disclosure</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Retirement Benefits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offers a tax-qualified 401(k) plan to its employees, under which participating employees may contribute a portion of their eligible compensation into their plan accounts. Each of the named executive officers was eligible to participate in the 401(k) plan during fiscal 2026. The Company makes matching contributions under the 401(k) plan equal to 35% of up to the first 6% of employee contributions, subject to tax-based limitations.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Severance and Change in Control Compensation</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does not have any arrangements in place with the named executive officers that provide for payments in connection with their termination of service or a change in control of the Company.</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Timing of Option Awards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Stock Option and Compensation Committee does not take material non-public information into account when determining the timing and terms of option awards, and the Company does not time the disclosure of material non-public information for the purpose of affecting the value of such awards.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Outstanding Equity Awards at 2025 Fiscal Year-End</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named executive officers did not hold any outstanding equity awards as of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4" w:name="z45ecd004779b463c9027bbb802bc7325"/>
      <w:bookmarkStart w:id="345" w:name="z45ecd004779b463c9027bbb802bc7325"/>
      <w:bookmarkEnd w:id="345"/>
    </w:p>
    <w:tbl>
      <w:tblPr>
        <w:tblW w:w="7656" w:type="dxa"/>
        <w:jc w:val="left"/>
        <w:tblInd w:w="0" w:type="dxa"/>
        <w:tblLayout w:type="fixed"/>
        <w:tblCellMar>
          <w:top w:w="0" w:type="dxa"/>
          <w:left w:w="0" w:type="dxa"/>
          <w:bottom w:w="0" w:type="dxa"/>
          <w:right w:w="0" w:type="dxa"/>
        </w:tblCellMar>
      </w:tblPr>
      <w:tblGrid>
        <w:gridCol w:w="2075"/>
        <w:gridCol w:w="90"/>
        <w:gridCol w:w="509"/>
        <w:gridCol w:w="710"/>
        <w:gridCol w:w="95"/>
        <w:gridCol w:w="95"/>
        <w:gridCol w:w="516"/>
        <w:gridCol w:w="718"/>
        <w:gridCol w:w="95"/>
        <w:gridCol w:w="95"/>
        <w:gridCol w:w="484"/>
        <w:gridCol w:w="675"/>
        <w:gridCol w:w="95"/>
        <w:gridCol w:w="95"/>
        <w:gridCol w:w="490"/>
        <w:gridCol w:w="684"/>
        <w:gridCol w:w="135"/>
      </w:tblGrid>
      <w:tr>
        <w:trPr/>
        <w:tc>
          <w:tcPr>
            <w:tcW w:w="20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56" w:type="dxa"/>
            <w:gridSpan w:val="14"/>
            <w:tcBorders>
              <w:bottom w:val="single" w:sz="12" w:space="0" w:color="000000"/>
            </w:tcBorders>
            <w:tcMar>
              <w:bottom w:w="28" w:type="dxa"/>
            </w:tcMar>
            <w:vAlign w:val="bottom"/>
          </w:tcPr>
          <w:p>
            <w:pPr>
              <w:pStyle w:val="TableContents"/>
              <w:bidi w:val="0"/>
              <w:spacing w:before="0" w:after="0"/>
              <w:jc w:val="center"/>
              <w:rPr>
                <w:b/>
              </w:rPr>
            </w:pPr>
            <w:r>
              <w:rPr>
                <w:b/>
              </w:rPr>
              <w:t>Stock Awards</w:t>
            </w:r>
          </w:p>
        </w:tc>
        <w:tc>
          <w:tcPr>
            <w:tcW w:w="135" w:type="dxa"/>
            <w:tcBorders/>
            <w:vAlign w:val="bottom"/>
          </w:tcPr>
          <w:p>
            <w:pPr>
              <w:pStyle w:val="TableContents"/>
              <w:bidi w:val="0"/>
              <w:spacing w:before="0" w:after="283"/>
              <w:jc w:val="left"/>
              <w:rPr/>
            </w:pPr>
            <w:r>
              <w:rPr/>
              <w:t> </w:t>
            </w:r>
          </w:p>
        </w:tc>
      </w:tr>
      <w:tr>
        <w:trPr/>
        <w:tc>
          <w:tcPr>
            <w:tcW w:w="2075" w:type="dxa"/>
            <w:tcBorders>
              <w:bottom w:val="single" w:sz="12" w:space="0" w:color="000000"/>
            </w:tcBorders>
            <w:tcMar>
              <w:bottom w:w="28" w:type="dxa"/>
            </w:tcMar>
            <w:vAlign w:val="center"/>
          </w:tcPr>
          <w:p>
            <w:pPr>
              <w:pStyle w:val="TableContents"/>
              <w:bidi w:val="0"/>
              <w:spacing w:before="0" w:after="0"/>
              <w:jc w:val="center"/>
              <w:rPr>
                <w:b/>
              </w:rPr>
            </w:pPr>
            <w:r>
              <w:rPr>
                <w:b/>
              </w:rPr>
              <w:t>Name</w:t>
            </w:r>
          </w:p>
        </w:tc>
        <w:tc>
          <w:tcPr>
            <w:tcW w:w="9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Number of </w:t>
            </w:r>
          </w:p>
          <w:p>
            <w:pPr>
              <w:pStyle w:val="TableContents"/>
              <w:bidi w:val="0"/>
              <w:spacing w:before="0" w:after="0"/>
              <w:jc w:val="center"/>
              <w:rPr>
                <w:b/>
              </w:rPr>
            </w:pPr>
            <w:r>
              <w:rPr>
                <w:b/>
              </w:rPr>
              <w:t>Shares</w:t>
            </w:r>
          </w:p>
          <w:p>
            <w:pPr>
              <w:pStyle w:val="TableContents"/>
              <w:bidi w:val="0"/>
              <w:spacing w:before="0" w:after="0"/>
              <w:jc w:val="center"/>
              <w:rPr>
                <w:b/>
              </w:rPr>
            </w:pPr>
            <w:r>
              <w:rPr>
                <w:b/>
              </w:rPr>
              <w:t>or Units of</w:t>
            </w:r>
          </w:p>
          <w:p>
            <w:pPr>
              <w:pStyle w:val="TableContents"/>
              <w:bidi w:val="0"/>
              <w:spacing w:before="0" w:after="0"/>
              <w:jc w:val="center"/>
              <w:rPr>
                <w:b/>
              </w:rPr>
            </w:pPr>
            <w:r>
              <w:rPr>
                <w:b/>
              </w:rPr>
              <w:t>Stock</w:t>
            </w:r>
          </w:p>
          <w:p>
            <w:pPr>
              <w:pStyle w:val="TableContents"/>
              <w:bidi w:val="0"/>
              <w:spacing w:before="0" w:after="0"/>
              <w:jc w:val="center"/>
              <w:rPr>
                <w:b/>
              </w:rPr>
            </w:pPr>
            <w:r>
              <w:rPr>
                <w:b/>
              </w:rPr>
              <w:t xml:space="preserve">That Have </w:t>
            </w:r>
          </w:p>
          <w:p>
            <w:pPr>
              <w:pStyle w:val="TableContents"/>
              <w:bidi w:val="0"/>
              <w:spacing w:before="0" w:after="0"/>
              <w:jc w:val="center"/>
              <w:rPr>
                <w:b/>
              </w:rPr>
            </w:pPr>
            <w:r>
              <w:rPr>
                <w:b/>
              </w:rPr>
              <w:t>Not</w:t>
            </w:r>
          </w:p>
          <w:p>
            <w:pPr>
              <w:pStyle w:val="TableContents"/>
              <w:bidi w:val="0"/>
              <w:spacing w:before="0" w:after="0"/>
              <w:jc w:val="center"/>
              <w:rPr>
                <w:b/>
              </w:rPr>
            </w:pPr>
            <w:r>
              <w:rPr>
                <w:b/>
              </w:rPr>
              <w:t>Vested (#)</w:t>
            </w:r>
          </w:p>
        </w:tc>
        <w:tc>
          <w:tcPr>
            <w:tcW w:w="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0"/>
              <w:jc w:val="center"/>
              <w:rPr>
                <w:b/>
              </w:rPr>
            </w:pPr>
            <w:r>
              <w:rPr>
                <w:b/>
              </w:rPr>
              <w:t>Market</w:t>
            </w:r>
          </w:p>
          <w:p>
            <w:pPr>
              <w:pStyle w:val="TableContents"/>
              <w:bidi w:val="0"/>
              <w:spacing w:before="0" w:after="0"/>
              <w:jc w:val="center"/>
              <w:rPr>
                <w:b/>
              </w:rPr>
            </w:pPr>
            <w:r>
              <w:rPr>
                <w:b/>
              </w:rPr>
              <w:t>Value of</w:t>
            </w:r>
          </w:p>
          <w:p>
            <w:pPr>
              <w:pStyle w:val="TableContents"/>
              <w:bidi w:val="0"/>
              <w:spacing w:before="0" w:after="0"/>
              <w:jc w:val="center"/>
              <w:rPr>
                <w:b/>
              </w:rPr>
            </w:pPr>
            <w:r>
              <w:rPr>
                <w:b/>
              </w:rPr>
              <w:t xml:space="preserve">Shares or </w:t>
            </w:r>
          </w:p>
          <w:p>
            <w:pPr>
              <w:pStyle w:val="TableContents"/>
              <w:bidi w:val="0"/>
              <w:spacing w:before="0" w:after="0"/>
              <w:jc w:val="center"/>
              <w:rPr>
                <w:b/>
              </w:rPr>
            </w:pPr>
            <w:r>
              <w:rPr>
                <w:b/>
              </w:rPr>
              <w:t>Units of</w:t>
            </w:r>
          </w:p>
          <w:p>
            <w:pPr>
              <w:pStyle w:val="TableContents"/>
              <w:bidi w:val="0"/>
              <w:spacing w:before="0" w:after="0"/>
              <w:jc w:val="center"/>
              <w:rPr>
                <w:b/>
              </w:rPr>
            </w:pPr>
            <w:r>
              <w:rPr>
                <w:b/>
              </w:rPr>
              <w:t xml:space="preserve">Stock That </w:t>
            </w:r>
          </w:p>
          <w:p>
            <w:pPr>
              <w:pStyle w:val="TableContents"/>
              <w:bidi w:val="0"/>
              <w:spacing w:before="0" w:after="0"/>
              <w:jc w:val="center"/>
              <w:rPr>
                <w:b/>
              </w:rPr>
            </w:pPr>
            <w:r>
              <w:rPr>
                <w:b/>
              </w:rPr>
              <w:t>Have</w:t>
            </w:r>
          </w:p>
          <w:p>
            <w:pPr>
              <w:pStyle w:val="TableContents"/>
              <w:bidi w:val="0"/>
              <w:spacing w:before="0" w:after="0"/>
              <w:jc w:val="center"/>
              <w:rPr>
                <w:b/>
              </w:rPr>
            </w:pPr>
            <w:r>
              <w:rPr>
                <w:b/>
              </w:rPr>
              <w:t xml:space="preserve">Not Vested </w:t>
            </w:r>
          </w:p>
          <w:p>
            <w:pPr>
              <w:pStyle w:val="TableContents"/>
              <w:bidi w:val="0"/>
              <w:spacing w:before="0" w:after="0"/>
              <w:jc w:val="center"/>
              <w:rPr>
                <w:b/>
              </w:rPr>
            </w:pPr>
            <w:r>
              <w:rPr>
                <w:b/>
              </w:rPr>
              <w:t>($)</w:t>
            </w:r>
          </w:p>
        </w:tc>
        <w:tc>
          <w:tcPr>
            <w:tcW w:w="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Equity </w:t>
            </w:r>
          </w:p>
          <w:p>
            <w:pPr>
              <w:pStyle w:val="TableContents"/>
              <w:bidi w:val="0"/>
              <w:spacing w:before="0" w:after="0"/>
              <w:jc w:val="center"/>
              <w:rPr>
                <w:b/>
              </w:rPr>
            </w:pPr>
            <w:r>
              <w:rPr>
                <w:b/>
              </w:rPr>
              <w:t>Incentive</w:t>
            </w:r>
          </w:p>
          <w:p>
            <w:pPr>
              <w:pStyle w:val="TableContents"/>
              <w:bidi w:val="0"/>
              <w:spacing w:before="0" w:after="0"/>
              <w:jc w:val="center"/>
              <w:rPr>
                <w:b/>
              </w:rPr>
            </w:pPr>
            <w:r>
              <w:rPr>
                <w:b/>
              </w:rPr>
              <w:t>Plan</w:t>
            </w:r>
          </w:p>
          <w:p>
            <w:pPr>
              <w:pStyle w:val="TableContents"/>
              <w:bidi w:val="0"/>
              <w:spacing w:before="0" w:after="0"/>
              <w:jc w:val="center"/>
              <w:rPr>
                <w:b/>
              </w:rPr>
            </w:pPr>
            <w:r>
              <w:rPr>
                <w:b/>
              </w:rPr>
              <w:t xml:space="preserve">Awards: </w:t>
            </w:r>
          </w:p>
          <w:p>
            <w:pPr>
              <w:pStyle w:val="TableContents"/>
              <w:bidi w:val="0"/>
              <w:spacing w:before="0" w:after="0"/>
              <w:jc w:val="center"/>
              <w:rPr>
                <w:b/>
              </w:rPr>
            </w:pPr>
            <w:r>
              <w:rPr>
                <w:b/>
              </w:rPr>
              <w:t>Number of</w:t>
            </w:r>
          </w:p>
          <w:p>
            <w:pPr>
              <w:pStyle w:val="TableContents"/>
              <w:bidi w:val="0"/>
              <w:spacing w:before="0" w:after="0"/>
              <w:jc w:val="center"/>
              <w:rPr>
                <w:b/>
              </w:rPr>
            </w:pPr>
            <w:r>
              <w:rPr>
                <w:b/>
              </w:rPr>
              <w:t xml:space="preserve">Unearned </w:t>
            </w:r>
          </w:p>
          <w:p>
            <w:pPr>
              <w:pStyle w:val="TableContents"/>
              <w:bidi w:val="0"/>
              <w:spacing w:before="0" w:after="0"/>
              <w:jc w:val="center"/>
              <w:rPr>
                <w:b/>
              </w:rPr>
            </w:pPr>
            <w:r>
              <w:rPr>
                <w:b/>
              </w:rPr>
              <w:t>Shares,</w:t>
            </w:r>
          </w:p>
          <w:p>
            <w:pPr>
              <w:pStyle w:val="TableContents"/>
              <w:bidi w:val="0"/>
              <w:spacing w:before="0" w:after="0"/>
              <w:jc w:val="center"/>
              <w:rPr>
                <w:b/>
              </w:rPr>
            </w:pPr>
            <w:r>
              <w:rPr>
                <w:b/>
              </w:rPr>
              <w:t xml:space="preserve">Units or </w:t>
            </w:r>
          </w:p>
          <w:p>
            <w:pPr>
              <w:pStyle w:val="TableContents"/>
              <w:bidi w:val="0"/>
              <w:spacing w:before="0" w:after="0"/>
              <w:jc w:val="center"/>
              <w:rPr>
                <w:b/>
              </w:rPr>
            </w:pPr>
            <w:r>
              <w:rPr>
                <w:b/>
              </w:rPr>
              <w:t xml:space="preserve">Other </w:t>
            </w:r>
          </w:p>
          <w:p>
            <w:pPr>
              <w:pStyle w:val="TableContents"/>
              <w:bidi w:val="0"/>
              <w:spacing w:before="0" w:after="0"/>
              <w:jc w:val="center"/>
              <w:rPr>
                <w:b/>
              </w:rPr>
            </w:pPr>
            <w:r>
              <w:rPr>
                <w:b/>
              </w:rPr>
              <w:t>Rights</w:t>
            </w:r>
          </w:p>
          <w:p>
            <w:pPr>
              <w:pStyle w:val="TableContents"/>
              <w:bidi w:val="0"/>
              <w:spacing w:before="0" w:after="0"/>
              <w:jc w:val="center"/>
              <w:rPr>
                <w:b/>
              </w:rPr>
            </w:pPr>
            <w:r>
              <w:rPr>
                <w:b/>
              </w:rPr>
              <w:t>That Have</w:t>
              <w:br/>
              <w:t> Not</w:t>
            </w:r>
          </w:p>
          <w:p>
            <w:pPr>
              <w:pStyle w:val="TableContents"/>
              <w:bidi w:val="0"/>
              <w:spacing w:before="0" w:after="0"/>
              <w:jc w:val="center"/>
              <w:rPr>
                <w:b/>
              </w:rPr>
            </w:pPr>
            <w:r>
              <w:rPr>
                <w:b/>
              </w:rPr>
              <w:t>Vested (#)</w:t>
            </w:r>
          </w:p>
        </w:tc>
        <w:tc>
          <w:tcPr>
            <w:tcW w:w="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Equity </w:t>
            </w:r>
          </w:p>
          <w:p>
            <w:pPr>
              <w:pStyle w:val="TableContents"/>
              <w:bidi w:val="0"/>
              <w:spacing w:before="0" w:after="0"/>
              <w:jc w:val="center"/>
              <w:rPr>
                <w:b/>
              </w:rPr>
            </w:pPr>
            <w:r>
              <w:rPr>
                <w:b/>
              </w:rPr>
              <w:t xml:space="preserve">Incentive </w:t>
            </w:r>
          </w:p>
          <w:p>
            <w:pPr>
              <w:pStyle w:val="TableContents"/>
              <w:bidi w:val="0"/>
              <w:spacing w:before="0" w:after="0"/>
              <w:jc w:val="center"/>
              <w:rPr>
                <w:b/>
              </w:rPr>
            </w:pPr>
            <w:r>
              <w:rPr>
                <w:b/>
              </w:rPr>
              <w:t>Plan</w:t>
            </w:r>
          </w:p>
          <w:p>
            <w:pPr>
              <w:pStyle w:val="TableContents"/>
              <w:bidi w:val="0"/>
              <w:spacing w:before="0" w:after="0"/>
              <w:jc w:val="center"/>
              <w:rPr>
                <w:b/>
              </w:rPr>
            </w:pPr>
            <w:r>
              <w:rPr>
                <w:b/>
              </w:rPr>
              <w:t xml:space="preserve">Awards: </w:t>
            </w:r>
          </w:p>
          <w:p>
            <w:pPr>
              <w:pStyle w:val="TableContents"/>
              <w:bidi w:val="0"/>
              <w:spacing w:before="0" w:after="0"/>
              <w:jc w:val="center"/>
              <w:rPr>
                <w:b/>
              </w:rPr>
            </w:pPr>
            <w:r>
              <w:rPr>
                <w:b/>
              </w:rPr>
              <w:t>Market or</w:t>
            </w:r>
          </w:p>
          <w:p>
            <w:pPr>
              <w:pStyle w:val="TableContents"/>
              <w:bidi w:val="0"/>
              <w:spacing w:before="0" w:after="0"/>
              <w:jc w:val="center"/>
              <w:rPr>
                <w:b/>
              </w:rPr>
            </w:pPr>
            <w:r>
              <w:rPr>
                <w:b/>
              </w:rPr>
              <w:t xml:space="preserve">Payout </w:t>
            </w:r>
          </w:p>
          <w:p>
            <w:pPr>
              <w:pStyle w:val="TableContents"/>
              <w:bidi w:val="0"/>
              <w:spacing w:before="0" w:after="0"/>
              <w:jc w:val="center"/>
              <w:rPr>
                <w:b/>
              </w:rPr>
            </w:pPr>
            <w:r>
              <w:rPr>
                <w:b/>
              </w:rPr>
              <w:t>Value of</w:t>
            </w:r>
          </w:p>
          <w:p>
            <w:pPr>
              <w:pStyle w:val="TableContents"/>
              <w:bidi w:val="0"/>
              <w:spacing w:before="0" w:after="0"/>
              <w:jc w:val="center"/>
              <w:rPr>
                <w:b/>
              </w:rPr>
            </w:pPr>
            <w:r>
              <w:rPr>
                <w:b/>
              </w:rPr>
              <w:t xml:space="preserve">Unearned </w:t>
            </w:r>
          </w:p>
          <w:p>
            <w:pPr>
              <w:pStyle w:val="TableContents"/>
              <w:bidi w:val="0"/>
              <w:spacing w:before="0" w:after="0"/>
              <w:jc w:val="center"/>
              <w:rPr>
                <w:b/>
              </w:rPr>
            </w:pPr>
            <w:r>
              <w:rPr>
                <w:b/>
              </w:rPr>
              <w:t xml:space="preserve">Shares, </w:t>
            </w:r>
          </w:p>
          <w:p>
            <w:pPr>
              <w:pStyle w:val="TableContents"/>
              <w:bidi w:val="0"/>
              <w:spacing w:before="0" w:after="0"/>
              <w:jc w:val="center"/>
              <w:rPr>
                <w:b/>
              </w:rPr>
            </w:pPr>
            <w:r>
              <w:rPr>
                <w:b/>
              </w:rPr>
              <w:t>Units</w:t>
            </w:r>
          </w:p>
          <w:p>
            <w:pPr>
              <w:pStyle w:val="TableContents"/>
              <w:bidi w:val="0"/>
              <w:spacing w:before="0" w:after="0"/>
              <w:jc w:val="center"/>
              <w:rPr>
                <w:b/>
              </w:rPr>
            </w:pPr>
            <w:r>
              <w:rPr>
                <w:b/>
              </w:rPr>
              <w:t xml:space="preserve">or Other </w:t>
            </w:r>
          </w:p>
          <w:p>
            <w:pPr>
              <w:pStyle w:val="TableContents"/>
              <w:bidi w:val="0"/>
              <w:spacing w:before="0" w:after="0"/>
              <w:jc w:val="center"/>
              <w:rPr>
                <w:b/>
              </w:rPr>
            </w:pPr>
            <w:r>
              <w:rPr>
                <w:b/>
              </w:rPr>
              <w:t>Rights that</w:t>
            </w:r>
          </w:p>
          <w:p>
            <w:pPr>
              <w:pStyle w:val="TableContents"/>
              <w:bidi w:val="0"/>
              <w:spacing w:before="0" w:after="0"/>
              <w:jc w:val="center"/>
              <w:rPr>
                <w:b/>
              </w:rPr>
            </w:pPr>
            <w:r>
              <w:rPr>
                <w:b/>
              </w:rPr>
              <w:t xml:space="preserve">Have Not </w:t>
            </w:r>
          </w:p>
          <w:p>
            <w:pPr>
              <w:pStyle w:val="TableContents"/>
              <w:bidi w:val="0"/>
              <w:spacing w:before="0" w:after="0"/>
              <w:jc w:val="center"/>
              <w:rPr>
                <w:b/>
              </w:rPr>
            </w:pPr>
            <w:r>
              <w:rPr>
                <w:b/>
              </w:rPr>
              <w:t>Vested ($)</w:t>
            </w:r>
          </w:p>
        </w:tc>
        <w:tc>
          <w:tcPr>
            <w:tcW w:w="13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jc w:val="left"/>
              <w:rPr/>
            </w:pPr>
            <w:r>
              <w:rPr/>
              <w:t>Hilton H. Howell, Jr.</w:t>
            </w:r>
          </w:p>
        </w:tc>
        <w:tc>
          <w:tcPr>
            <w:tcW w:w="9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left"/>
              <w:rPr/>
            </w:pPr>
            <w:r>
              <w:rPr/>
              <w:t>J. Ross Franklin</w:t>
            </w:r>
          </w:p>
        </w:tc>
        <w:tc>
          <w:tcPr>
            <w:tcW w:w="9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Recovery Analysis under Clawback Policy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Company’s Compensation Clawback Policy (the “Clawback Policy”) provides that the Company will recover excess incentive-based compensation paid to an executive officer when such compensation was based in whole or in part on financial results later subject to a restatement of the Company’s financial statements. The Clawback Policy specifies that following an accounting restatement, the Company will recover reasonably promptly any compensation that is granted, earned or vested based wholly or in part upon the attainment of a financial reporting measure (the “Incentive-Based Compensation”) and which exceeds the amount that would have been received under the restated financial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further described in this Form 10-K, in connection with the preparation of the Company’s consolidated financial statements for the year ended December 31, 2025, management identified errors relating to the recognition of due-premium receivables and related premium revenue within the Company’s group whole life and group accident and health business. Management concluded that the errors were not material, individually or in the aggregate, to the Company’s previously issued consolidated financial statements as of and for the year ended December 31, 2024. Management further concluded that correcting the cumulative errors entirely in the consolidated statement of operations for the year ended December 31, 2025 would result in a material misstatement of the Company’s 2025 results of operations. Accordingly, the Company has revised the 2024 financial information presented in this Annual Report on Form 10-K to reflect the correction of the errors in the appropriate prior periods.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Because none of the compensation received by the Company’s executive officers during the applicable recovery period was based on the attainment of a financial reporting measure, the Company concluded that no recovery of Incentive-Based Compensation was required under the Clawback Policy as a result of the accounting restatement.</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Compensation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During 2025, the Company’s policy was to pay all members of the Board of Directors $20,000 for each Board meeting attended, whether in person or telephonically, and $2,000 for each committee meeting attended, whether in person or telephonically. Beginning in 2026, the Company’s policy is to pay all members of the Board of Directors $25,000 for each Board meeting attended, and $2,000 for each committee meeting attended, in each case whether in person or telephonically. In addition, Directors were reimbursed for actual expenses incurred in connection with attending meetings of the Board and/or committees of the Board. Pursuant to the Company’s 2022 Plan, Directors are eligible to receive stock options to purchase shares of Common Stock and other equity awards. No such awards were made in 2025.</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following table provides information about the compensation paid or granted for services as a director of the Company for the year ended December 31, 2025. Hilton H. Howell, Jr. also served as a director of the Company during 2025. He did not receive any stock awards for such service, but did receive cash fees for his attendance at Board meetings. See the Summary Compensation Table for information on the total compensation paid to Mr. Howell for all services provided to the Company and its subsidiaries.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6" w:name="z128c6c1113d940afa91f93aff4375e9e"/>
      <w:bookmarkStart w:id="347" w:name="z128c6c1113d940afa91f93aff4375e9e"/>
      <w:bookmarkEnd w:id="347"/>
    </w:p>
    <w:tbl>
      <w:tblPr>
        <w:tblW w:w="7685" w:type="dxa"/>
        <w:jc w:val="left"/>
        <w:tblInd w:w="0" w:type="dxa"/>
        <w:tblLayout w:type="fixed"/>
        <w:tblCellMar>
          <w:top w:w="0" w:type="dxa"/>
          <w:left w:w="0" w:type="dxa"/>
          <w:bottom w:w="0" w:type="dxa"/>
          <w:right w:w="0" w:type="dxa"/>
        </w:tblCellMar>
      </w:tblPr>
      <w:tblGrid>
        <w:gridCol w:w="1910"/>
        <w:gridCol w:w="90"/>
        <w:gridCol w:w="124"/>
        <w:gridCol w:w="990"/>
        <w:gridCol w:w="93"/>
        <w:gridCol w:w="93"/>
        <w:gridCol w:w="360"/>
        <w:gridCol w:w="500"/>
        <w:gridCol w:w="93"/>
        <w:gridCol w:w="93"/>
        <w:gridCol w:w="673"/>
        <w:gridCol w:w="937"/>
        <w:gridCol w:w="395"/>
        <w:gridCol w:w="93"/>
        <w:gridCol w:w="93"/>
        <w:gridCol w:w="738"/>
        <w:gridCol w:w="410"/>
      </w:tblGrid>
      <w:tr>
        <w:trPr/>
        <w:tc>
          <w:tcPr>
            <w:tcW w:w="19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27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 Director Compensation</w:t>
            </w:r>
          </w:p>
        </w:tc>
        <w:tc>
          <w:tcPr>
            <w:tcW w:w="41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1910" w:type="dxa"/>
            <w:tcBorders>
              <w:bottom w:val="single" w:sz="12" w:space="0" w:color="000000"/>
            </w:tcBorders>
            <w:tcMar>
              <w:bottom w:w="28" w:type="dxa"/>
            </w:tcMar>
            <w:vAlign w:val="center"/>
          </w:tcPr>
          <w:p>
            <w:pPr>
              <w:pStyle w:val="TableContents"/>
              <w:bidi w:val="0"/>
              <w:spacing w:before="0" w:after="0"/>
              <w:jc w:val="center"/>
              <w:rPr>
                <w:b/>
              </w:rPr>
            </w:pPr>
            <w:r>
              <w:rPr>
                <w:b/>
              </w:rPr>
              <w:t>Name</w:t>
            </w:r>
          </w:p>
        </w:tc>
        <w:tc>
          <w:tcPr>
            <w:tcW w:w="9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Fees </w:t>
            </w:r>
          </w:p>
          <w:p>
            <w:pPr>
              <w:pStyle w:val="TableContents"/>
              <w:bidi w:val="0"/>
              <w:spacing w:before="0" w:after="0"/>
              <w:jc w:val="center"/>
              <w:rPr>
                <w:b/>
              </w:rPr>
            </w:pPr>
            <w:r>
              <w:rPr>
                <w:b/>
              </w:rPr>
              <w:t>Earned</w:t>
            </w:r>
          </w:p>
          <w:p>
            <w:pPr>
              <w:pStyle w:val="TableContents"/>
              <w:bidi w:val="0"/>
              <w:spacing w:before="0" w:after="0"/>
              <w:jc w:val="center"/>
              <w:rPr>
                <w:b/>
              </w:rPr>
            </w:pPr>
            <w:r>
              <w:rPr>
                <w:b/>
              </w:rPr>
              <w:t xml:space="preserve">or Paid in </w:t>
            </w:r>
          </w:p>
          <w:p>
            <w:pPr>
              <w:pStyle w:val="TableContents"/>
              <w:bidi w:val="0"/>
              <w:spacing w:before="0" w:after="0"/>
              <w:jc w:val="center"/>
              <w:rPr>
                <w:b/>
              </w:rPr>
            </w:pPr>
            <w:r>
              <w:rPr>
                <w:b/>
              </w:rPr>
              <w:t>Cash</w:t>
            </w:r>
          </w:p>
          <w:p>
            <w:pPr>
              <w:pStyle w:val="TableContents"/>
              <w:bidi w:val="0"/>
              <w:spacing w:before="0" w:after="0"/>
              <w:jc w:val="center"/>
              <w:rPr>
                <w:b/>
              </w:rPr>
            </w:pPr>
            <w:r>
              <w:rPr>
                <w:b/>
              </w:rPr>
              <w:t>($)</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Stock </w:t>
            </w:r>
          </w:p>
          <w:p>
            <w:pPr>
              <w:pStyle w:val="TableContents"/>
              <w:bidi w:val="0"/>
              <w:spacing w:before="0" w:after="0"/>
              <w:jc w:val="center"/>
              <w:rPr>
                <w:b/>
              </w:rPr>
            </w:pPr>
            <w:r>
              <w:rPr>
                <w:b/>
              </w:rPr>
              <w:t>Awards</w:t>
            </w:r>
          </w:p>
          <w:p>
            <w:pPr>
              <w:pStyle w:val="TableContents"/>
              <w:bidi w:val="0"/>
              <w:spacing w:before="0" w:after="0"/>
              <w:jc w:val="center"/>
              <w:rPr>
                <w:b/>
              </w:rPr>
            </w:pPr>
            <w:r>
              <w:rPr>
                <w:b/>
              </w:rPr>
              <w:t>($)</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 Other</w:t>
            </w:r>
          </w:p>
          <w:p>
            <w:pPr>
              <w:pStyle w:val="TableContents"/>
              <w:bidi w:val="0"/>
              <w:spacing w:before="0" w:after="0"/>
              <w:jc w:val="center"/>
              <w:rPr>
                <w:b/>
              </w:rPr>
            </w:pPr>
            <w:r>
              <w:rPr>
                <w:b/>
              </w:rPr>
              <w:t>Compensations</w:t>
            </w:r>
          </w:p>
          <w:p>
            <w:pPr>
              <w:pStyle w:val="TableContents"/>
              <w:bidi w:val="0"/>
              <w:spacing w:before="0" w:after="0"/>
              <w:jc w:val="center"/>
              <w:rPr>
                <w:b/>
              </w:rPr>
            </w:pPr>
            <w:r>
              <w:rPr>
                <w:b/>
              </w:rPr>
              <w:t>($)</w:t>
            </w:r>
          </w:p>
        </w:tc>
        <w:tc>
          <w:tcPr>
            <w:tcW w:w="395"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831"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p>
            <w:pPr>
              <w:pStyle w:val="TableContents"/>
              <w:bidi w:val="0"/>
              <w:spacing w:before="0" w:after="0"/>
              <w:jc w:val="center"/>
              <w:rPr>
                <w:b/>
              </w:rPr>
            </w:pPr>
            <w:r>
              <w:rPr>
                <w:b/>
              </w:rPr>
              <w:t>($)</w:t>
            </w:r>
          </w:p>
        </w:tc>
        <w:tc>
          <w:tcPr>
            <w:tcW w:w="410" w:type="dxa"/>
            <w:tcBorders>
              <w:bottom w:val="single" w:sz="12" w:space="0" w:color="000000"/>
            </w:tcBorders>
            <w:tcMar>
              <w:bottom w:w="28" w:type="dxa"/>
            </w:tcMar>
            <w:vAlign w:val="bottom"/>
          </w:tcPr>
          <w:p>
            <w:pPr>
              <w:pStyle w:val="TableContents"/>
              <w:bidi w:val="0"/>
              <w:spacing w:before="0" w:after="283"/>
              <w:jc w:val="left"/>
              <w:rPr/>
            </w:pPr>
            <w:r>
              <w:rPr/>
            </w:r>
          </w:p>
        </w:tc>
      </w:tr>
      <w:tr>
        <w:trPr/>
        <w:tc>
          <w:tcPr>
            <w:tcW w:w="1910" w:type="dxa"/>
            <w:tcBorders/>
            <w:shd w:fill="CCEEFF" w:val="clear"/>
            <w:vAlign w:val="bottom"/>
          </w:tcPr>
          <w:p>
            <w:pPr>
              <w:pStyle w:val="TableContents"/>
              <w:bidi w:val="0"/>
              <w:spacing w:before="0" w:after="0"/>
              <w:jc w:val="left"/>
              <w:rPr/>
            </w:pPr>
            <w:r>
              <w:rPr/>
              <w:t>Robin R. Howell</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pPr>
            <w:r>
              <w:rPr/>
              <w:t>80,000</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pPr>
            <w:r>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pPr>
            <w:r>
              <w:rPr/>
              <w:t>80,000</w:t>
            </w:r>
          </w:p>
        </w:tc>
        <w:tc>
          <w:tcPr>
            <w:tcW w:w="410" w:type="dxa"/>
            <w:tcBorders/>
            <w:shd w:fill="CCEEFF" w:val="clear"/>
            <w:vAlign w:val="bottom"/>
          </w:tcPr>
          <w:p>
            <w:pPr>
              <w:pStyle w:val="TableContents"/>
              <w:bidi w:val="0"/>
              <w:spacing w:lineRule="auto" w:line="240" w:before="0" w:after="0"/>
              <w:jc w:val="left"/>
              <w:rPr/>
            </w:pPr>
            <w:r>
              <w:rPr/>
              <w:t>(1) </w:t>
            </w:r>
          </w:p>
        </w:tc>
      </w:tr>
      <w:tr>
        <w:trPr/>
        <w:tc>
          <w:tcPr>
            <w:tcW w:w="1910" w:type="dxa"/>
            <w:tcBorders/>
            <w:vAlign w:val="bottom"/>
          </w:tcPr>
          <w:p>
            <w:pPr>
              <w:pStyle w:val="TableContents"/>
              <w:bidi w:val="0"/>
              <w:spacing w:before="0" w:after="0"/>
              <w:jc w:val="left"/>
              <w:rPr/>
            </w:pPr>
            <w:r>
              <w:rPr/>
              <w:t>Mark E. Preisinger</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pPr>
            <w:r>
              <w:rPr/>
              <w:t>90,000</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pPr>
            <w:r>
              <w:rPr/>
              <w:t>-</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3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pPr>
            <w:r>
              <w:rPr/>
              <w:t>90,000</w:t>
            </w:r>
          </w:p>
        </w:tc>
        <w:tc>
          <w:tcPr>
            <w:tcW w:w="410" w:type="dxa"/>
            <w:tcBorders/>
            <w:vAlign w:val="bottom"/>
          </w:tcPr>
          <w:p>
            <w:pPr>
              <w:pStyle w:val="TableContents"/>
              <w:bidi w:val="0"/>
              <w:spacing w:before="0" w:after="283"/>
              <w:jc w:val="left"/>
              <w:rPr/>
            </w:pPr>
            <w:r>
              <w:rPr/>
              <w:t> </w:t>
            </w:r>
          </w:p>
        </w:tc>
      </w:tr>
      <w:tr>
        <w:trPr/>
        <w:tc>
          <w:tcPr>
            <w:tcW w:w="1910" w:type="dxa"/>
            <w:tcBorders/>
            <w:shd w:fill="CCEEFF" w:val="clear"/>
            <w:vAlign w:val="bottom"/>
          </w:tcPr>
          <w:p>
            <w:pPr>
              <w:pStyle w:val="TableContents"/>
              <w:bidi w:val="0"/>
              <w:spacing w:before="0" w:after="0"/>
              <w:jc w:val="left"/>
              <w:rPr/>
            </w:pPr>
            <w:r>
              <w:rPr/>
              <w:t>Joseph M. Scheerer</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pPr>
            <w:r>
              <w:rPr/>
              <w:t>90,000</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pPr>
            <w:r>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pPr>
            <w:r>
              <w:rPr/>
              <w:t>90,000</w:t>
            </w:r>
          </w:p>
        </w:tc>
        <w:tc>
          <w:tcPr>
            <w:tcW w:w="410" w:type="dxa"/>
            <w:tcBorders/>
            <w:shd w:fill="CCEEFF" w:val="clear"/>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0"/>
              <w:jc w:val="left"/>
              <w:rPr/>
            </w:pPr>
            <w:r>
              <w:rPr/>
              <w:t>Scott G. Thompson</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pPr>
            <w:r>
              <w:rPr/>
              <w:t>80,000</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pPr>
            <w:r>
              <w:rPr/>
              <w:t>-</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395" w:type="dxa"/>
            <w:tcBorders/>
            <w:vAlign w:val="bottom"/>
          </w:tcPr>
          <w:p>
            <w:pPr>
              <w:pStyle w:val="TableContents"/>
              <w:bidi w:val="0"/>
              <w:spacing w:lineRule="auto" w:line="240" w:before="0" w:after="0"/>
              <w:jc w:val="left"/>
              <w:rPr/>
            </w:pPr>
            <w:r>
              <w:rPr/>
              <w:t>(2)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pPr>
            <w:r>
              <w:rPr/>
              <w:t>80,000</w:t>
            </w:r>
          </w:p>
        </w:tc>
        <w:tc>
          <w:tcPr>
            <w:tcW w:w="410" w:type="dxa"/>
            <w:tcBorders/>
            <w:vAlign w:val="bottom"/>
          </w:tcPr>
          <w:p>
            <w:pPr>
              <w:pStyle w:val="TableContents"/>
              <w:bidi w:val="0"/>
              <w:spacing w:before="0" w:after="283"/>
              <w:jc w:val="left"/>
              <w:rPr/>
            </w:pPr>
            <w:r>
              <w:rPr/>
              <w:t> </w:t>
            </w:r>
          </w:p>
        </w:tc>
      </w:tr>
      <w:tr>
        <w:trPr/>
        <w:tc>
          <w:tcPr>
            <w:tcW w:w="1910" w:type="dxa"/>
            <w:tcBorders/>
            <w:shd w:fill="CCEEFF" w:val="clear"/>
            <w:vAlign w:val="bottom"/>
          </w:tcPr>
          <w:p>
            <w:pPr>
              <w:pStyle w:val="TableContents"/>
              <w:bidi w:val="0"/>
              <w:spacing w:before="0" w:after="0"/>
              <w:jc w:val="left"/>
              <w:rPr/>
            </w:pPr>
            <w:r>
              <w:rPr/>
              <w:t>D. Keehln Wheeler</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pPr>
            <w:r>
              <w:rPr/>
              <w:t>90,000</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pPr>
            <w:r>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pPr>
            <w:r>
              <w:rPr/>
              <w:t>90,000</w:t>
            </w:r>
          </w:p>
        </w:tc>
        <w:tc>
          <w:tcPr>
            <w:tcW w:w="4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(1) Does not include amounts that may be deemed received pursuant to certain related transactions and described below in “Certain Relationships and Related Person Transactions.”</w:t>
      </w:r>
    </w:p>
    <w:p>
      <w:pPr>
        <w:pStyle w:val="TextBody"/>
        <w:bidi w:val="0"/>
        <w:spacing w:before="0" w:after="0"/>
        <w:jc w:val="left"/>
        <w:rPr>
          <w:rFonts w:ascii="Times New Roman" w:hAnsi="Times New Roman"/>
          <w:sz w:val="20"/>
        </w:rPr>
      </w:pPr>
      <w:r>
        <w:rPr>
          <w:rFonts w:ascii="Times New Roman" w:hAnsi="Times New Roman"/>
          <w:sz w:val="20"/>
        </w:rPr>
        <w:t>(2) For Mr. Thompson, excludes compensation received as an employee of a subsidiary of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8" w:name="z4c485ed0674d428ab52cda3779373a96"/>
      <w:bookmarkStart w:id="349" w:name="SecurityOwnershipofCertai"/>
      <w:bookmarkStart w:id="350" w:name="z4c485ed0674d428ab52cda3779373a96"/>
      <w:bookmarkStart w:id="351" w:name="SecurityOwnershipofCertai"/>
      <w:bookmarkEnd w:id="350"/>
      <w:bookmarkEnd w:id="351"/>
    </w:p>
    <w:tbl>
      <w:tblPr>
        <w:tblW w:w="10205" w:type="dxa"/>
        <w:jc w:val="left"/>
        <w:tblInd w:w="0" w:type="dxa"/>
        <w:tblLayout w:type="fixed"/>
        <w:tblCellMar>
          <w:top w:w="0" w:type="dxa"/>
          <w:left w:w="0" w:type="dxa"/>
          <w:bottom w:w="0" w:type="dxa"/>
          <w:right w:w="0" w:type="dxa"/>
        </w:tblCellMar>
      </w:tblPr>
      <w:tblGrid>
        <w:gridCol w:w="848"/>
        <w:gridCol w:w="9357"/>
      </w:tblGrid>
      <w:tr>
        <w:trPr/>
        <w:tc>
          <w:tcPr>
            <w:tcW w:w="848" w:type="dxa"/>
            <w:tcBorders/>
            <w:vAlign w:val="center"/>
          </w:tcPr>
          <w:p>
            <w:pPr>
              <w:pStyle w:val="TableContents"/>
              <w:bidi w:val="0"/>
              <w:spacing w:before="0" w:after="283"/>
              <w:jc w:val="left"/>
              <w:rPr>
                <w:b/>
              </w:rPr>
            </w:pPr>
            <w:r>
              <w:rPr>
                <w:b/>
              </w:rPr>
              <w:t>Item 12.</w:t>
            </w:r>
          </w:p>
        </w:tc>
        <w:tc>
          <w:tcPr>
            <w:tcW w:w="9357" w:type="dxa"/>
            <w:tcBorders/>
            <w:vAlign w:val="center"/>
          </w:tcPr>
          <w:p>
            <w:pPr>
              <w:pStyle w:val="TableContents"/>
              <w:bidi w:val="0"/>
              <w:spacing w:before="0" w:after="0"/>
              <w:jc w:val="both"/>
              <w:rPr>
                <w:b/>
              </w:rPr>
            </w:pPr>
            <w:r>
              <w:rPr>
                <w:b/>
              </w:rPr>
              <w:t>Security Ownership of Certain Beneficial Owners and Management and Related Stockholder Matters</w:t>
            </w:r>
          </w:p>
        </w:tc>
      </w:tr>
    </w:tbl>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Security Ownership of Certain Beneficial Owners and Management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following table sets forth ownership information regarding our outstanding equity securities as of October 1, 2026 by: (i) each person who is known to the Company to beneficially own more than 5% of the outstanding shares of Common Stock of the Company; (ii) each Director, which includes all Director nominees; (iii) each executive officer named in the Summary Compensation Table; and (iv) all of the Company’s Directors and executive officers as a group. The address of each such person and entities controlled by such person is: c/o Atlantic American Corporation, 4370 Peachtree Road, N.E., Atlanta, Georgia 30319. As of October 1, 2026, the Company had 20,397,228 shares of Common Stock outstanding.</w:t>
      </w:r>
    </w:p>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352" w:name="z7913806f311347f8a860ccf46392c073"/>
      <w:bookmarkStart w:id="353" w:name="z7913806f311347f8a860ccf46392c073"/>
      <w:bookmarkEnd w:id="353"/>
    </w:p>
    <w:tbl>
      <w:tblPr>
        <w:tblW w:w="10205" w:type="dxa"/>
        <w:jc w:val="left"/>
        <w:tblInd w:w="0" w:type="dxa"/>
        <w:tblLayout w:type="fixed"/>
        <w:tblCellMar>
          <w:top w:w="0" w:type="dxa"/>
          <w:left w:w="0" w:type="dxa"/>
          <w:bottom w:w="0" w:type="dxa"/>
          <w:right w:w="0" w:type="dxa"/>
        </w:tblCellMar>
      </w:tblPr>
      <w:tblGrid>
        <w:gridCol w:w="4410"/>
        <w:gridCol w:w="90"/>
        <w:gridCol w:w="90"/>
        <w:gridCol w:w="1130"/>
        <w:gridCol w:w="345"/>
        <w:gridCol w:w="90"/>
        <w:gridCol w:w="109"/>
        <w:gridCol w:w="730"/>
        <w:gridCol w:w="245"/>
        <w:gridCol w:w="90"/>
        <w:gridCol w:w="172"/>
        <w:gridCol w:w="1200"/>
        <w:gridCol w:w="150"/>
        <w:gridCol w:w="150"/>
        <w:gridCol w:w="172"/>
        <w:gridCol w:w="753"/>
        <w:gridCol w:w="279"/>
      </w:tblGrid>
      <w:tr>
        <w:trPr/>
        <w:tc>
          <w:tcPr>
            <w:tcW w:w="44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4" w:type="dxa"/>
            <w:gridSpan w:val="6"/>
            <w:tcBorders>
              <w:bottom w:val="single" w:sz="12" w:space="0" w:color="000000"/>
            </w:tcBorders>
            <w:tcMar>
              <w:bottom w:w="28" w:type="dxa"/>
            </w:tcMar>
            <w:vAlign w:val="bottom"/>
          </w:tcPr>
          <w:p>
            <w:pPr>
              <w:pStyle w:val="TableContents"/>
              <w:bidi w:val="0"/>
              <w:spacing w:before="0" w:after="0"/>
              <w:jc w:val="center"/>
              <w:rPr>
                <w:b/>
              </w:rPr>
            </w:pPr>
            <w:r>
              <w:rPr>
                <w:b/>
              </w:rPr>
              <w:t>Common Stock</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7" w:type="dxa"/>
            <w:gridSpan w:val="6"/>
            <w:tcBorders>
              <w:bottom w:val="single" w:sz="12" w:space="0" w:color="000000"/>
            </w:tcBorders>
            <w:tcMar>
              <w:bottom w:w="28" w:type="dxa"/>
            </w:tcMar>
            <w:vAlign w:val="bottom"/>
          </w:tcPr>
          <w:p>
            <w:pPr>
              <w:pStyle w:val="TableContents"/>
              <w:bidi w:val="0"/>
              <w:spacing w:lineRule="auto" w:line="240" w:before="0" w:after="0"/>
              <w:jc w:val="center"/>
              <w:rPr>
                <w:b/>
              </w:rPr>
            </w:pPr>
            <w:r>
              <w:rPr>
                <w:b/>
              </w:rPr>
              <w:t>Series D Preferred Stock(1)</w:t>
            </w:r>
          </w:p>
        </w:tc>
        <w:tc>
          <w:tcPr>
            <w:tcW w:w="279" w:type="dxa"/>
            <w:tcBorders/>
            <w:vAlign w:val="bottom"/>
          </w:tcPr>
          <w:p>
            <w:pPr>
              <w:pStyle w:val="TableContents"/>
              <w:bidi w:val="0"/>
              <w:spacing w:before="0" w:after="283"/>
              <w:jc w:val="left"/>
              <w:rPr/>
            </w:pPr>
            <w:r>
              <w:rPr/>
              <w:t> </w:t>
            </w:r>
          </w:p>
        </w:tc>
      </w:tr>
      <w:tr>
        <w:trPr/>
        <w:tc>
          <w:tcPr>
            <w:tcW w:w="4410" w:type="dxa"/>
            <w:tcBorders>
              <w:bottom w:val="single" w:sz="12" w:space="0" w:color="000000"/>
            </w:tcBorders>
            <w:tcMar>
              <w:bottom w:w="28" w:type="dxa"/>
            </w:tcMar>
            <w:vAlign w:val="center"/>
          </w:tcPr>
          <w:p>
            <w:pPr>
              <w:pStyle w:val="TableContents"/>
              <w:bidi w:val="0"/>
              <w:spacing w:before="0" w:after="0"/>
              <w:jc w:val="center"/>
              <w:rPr>
                <w:b/>
              </w:rPr>
            </w:pPr>
            <w:r>
              <w:rPr>
                <w:b/>
              </w:rPr>
              <w:t>Name of Stockholder</w:t>
            </w:r>
          </w:p>
        </w:tc>
        <w:tc>
          <w:tcPr>
            <w:tcW w:w="9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Shares</w:t>
            </w:r>
          </w:p>
        </w:tc>
        <w:tc>
          <w:tcPr>
            <w:tcW w:w="34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p>
            <w:pPr>
              <w:pStyle w:val="TableContents"/>
              <w:bidi w:val="0"/>
              <w:spacing w:before="0" w:after="0"/>
              <w:jc w:val="center"/>
              <w:rPr>
                <w:b/>
              </w:rPr>
            </w:pPr>
            <w:r>
              <w:rPr>
                <w:b/>
              </w:rPr>
              <w:t>of Class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Shares</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p>
            <w:pPr>
              <w:pStyle w:val="TableContents"/>
              <w:bidi w:val="0"/>
              <w:spacing w:before="0" w:after="0"/>
              <w:jc w:val="center"/>
              <w:rPr>
                <w:b/>
              </w:rPr>
            </w:pPr>
            <w:r>
              <w:rPr>
                <w:b/>
              </w:rPr>
              <w:t>of Class</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Estate of Harriett J. Robinson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15,217,583</w:t>
            </w:r>
          </w:p>
        </w:tc>
        <w:tc>
          <w:tcPr>
            <w:tcW w:w="345" w:type="dxa"/>
            <w:tcBorders/>
            <w:shd w:fill="CCEEFF" w:val="clear"/>
            <w:vAlign w:val="bottom"/>
          </w:tcPr>
          <w:p>
            <w:pPr>
              <w:pStyle w:val="TableContents"/>
              <w:bidi w:val="0"/>
              <w:spacing w:lineRule="auto" w:line="240" w:before="0" w:after="0"/>
              <w:jc w:val="left"/>
              <w:rPr/>
            </w:pPr>
            <w:r>
              <w:rPr/>
              <w:t>(2)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74.61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55,000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100</w:t>
            </w:r>
          </w:p>
        </w:tc>
        <w:tc>
          <w:tcPr>
            <w:tcW w:w="279" w:type="dxa"/>
            <w:tcBorders/>
            <w:shd w:fill="CCEEFF" w:val="clear"/>
            <w:vAlign w:val="bottom"/>
          </w:tcPr>
          <w:p>
            <w:pPr>
              <w:pStyle w:val="TableContents"/>
              <w:bidi w:val="0"/>
              <w:spacing w:before="0" w:after="0"/>
              <w:jc w:val="left"/>
              <w:rPr/>
            </w:pPr>
            <w:r>
              <w:rPr/>
              <w:t>%</w:t>
            </w:r>
          </w:p>
        </w:tc>
      </w:tr>
      <w:tr>
        <w:trPr/>
        <w:tc>
          <w:tcPr>
            <w:tcW w:w="4410" w:type="dxa"/>
            <w:tcBorders/>
            <w:vAlign w:val="bottom"/>
          </w:tcPr>
          <w:p>
            <w:pPr>
              <w:pStyle w:val="TableContents"/>
              <w:bidi w:val="0"/>
              <w:spacing w:before="0" w:after="0"/>
              <w:jc w:val="left"/>
              <w:rPr/>
            </w:pPr>
            <w:r>
              <w:rPr/>
              <w:t>Hilton H. Howell, Jr.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869,393</w:t>
            </w:r>
          </w:p>
        </w:tc>
        <w:tc>
          <w:tcPr>
            <w:tcW w:w="345" w:type="dxa"/>
            <w:tcBorders/>
            <w:vAlign w:val="bottom"/>
          </w:tcPr>
          <w:p>
            <w:pPr>
              <w:pStyle w:val="TableContents"/>
              <w:bidi w:val="0"/>
              <w:spacing w:lineRule="auto" w:line="240" w:before="0" w:after="0"/>
              <w:jc w:val="left"/>
              <w:rPr/>
            </w:pPr>
            <w:r>
              <w:rPr/>
              <w:t>(3)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4.26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Robin R. Howell</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3,988,356</w:t>
            </w:r>
          </w:p>
        </w:tc>
        <w:tc>
          <w:tcPr>
            <w:tcW w:w="345" w:type="dxa"/>
            <w:tcBorders/>
            <w:shd w:fill="CCEEFF" w:val="clear"/>
            <w:vAlign w:val="bottom"/>
          </w:tcPr>
          <w:p>
            <w:pPr>
              <w:pStyle w:val="TableContents"/>
              <w:bidi w:val="0"/>
              <w:spacing w:lineRule="auto" w:line="240" w:before="0" w:after="0"/>
              <w:jc w:val="left"/>
              <w:rPr/>
            </w:pPr>
            <w:r>
              <w:rPr/>
              <w:t>(4)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19.55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r>
              <w:rPr/>
              <w:t>Mark E. Preisinger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20,000</w:t>
            </w:r>
          </w:p>
        </w:tc>
        <w:tc>
          <w:tcPr>
            <w:tcW w:w="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Joseph M. Scheerer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30,000</w:t>
            </w:r>
          </w:p>
        </w:tc>
        <w:tc>
          <w:tcPr>
            <w:tcW w:w="3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r>
              <w:rPr/>
              <w:t>Scott G. Thompson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145,959</w:t>
            </w:r>
          </w:p>
        </w:tc>
        <w:tc>
          <w:tcPr>
            <w:tcW w:w="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D. Keehln Wheeler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30,000</w:t>
            </w:r>
          </w:p>
        </w:tc>
        <w:tc>
          <w:tcPr>
            <w:tcW w:w="3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r>
              <w:rPr/>
              <w:t>J. Ross Franklin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36,942</w:t>
            </w:r>
          </w:p>
        </w:tc>
        <w:tc>
          <w:tcPr>
            <w:tcW w:w="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All directors and executive officers as a group (6 persons)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5,049,633</w:t>
            </w:r>
          </w:p>
        </w:tc>
        <w:tc>
          <w:tcPr>
            <w:tcW w:w="345"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24.76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0"/>
              <w:jc w:val="left"/>
              <w:rPr/>
            </w:pPr>
            <w:r>
              <w:rPr/>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t> </w:t>
      </w:r>
      <w:r>
        <w:rPr>
          <w:rFonts w:ascii="Times New Roman" w:hAnsi="Times New Roman"/>
          <w:sz w:val="20"/>
        </w:rPr>
        <w:t>* Represents less than one percent.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(1) All shares of stock are owned “beneficially” as set forth in the rules of the SEC. Under those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The person is also deemed to be a beneficial owner of any security of which that person has a right to acquire beneficial ownership (such as by exercise of options) within 60 days. Under such rules, more than one person may be deemed to be a beneficial owner of the same securities, and a person may be deemed to be a beneficial owner of securities as to which he or she may disclaim any beneficial interest. Except as indicated in other notes to this table, directors and executive officers possessed sole voting and investment power with respect to all shares of stock referred to in the table. Except upon the occurrence of certain events, shares of Series D preferred stock, par value $1.00 per share (the “Series D Preferred Stock”), are not entitled to any vote, whereas each share of Common Stock entitles its holder to one vote. The shares of Series D Preferred Stock are not currently convertible, but may become convertible into shares of Common Stock under certain conditions.</w:t>
      </w:r>
    </w:p>
    <w:p>
      <w:pPr>
        <w:pStyle w:val="TextBody"/>
        <w:bidi w:val="0"/>
        <w:spacing w:before="0" w:after="0"/>
        <w:jc w:val="both"/>
        <w:rPr>
          <w:rFonts w:ascii="Times New Roman" w:hAnsi="Times New Roman"/>
          <w:sz w:val="20"/>
        </w:rPr>
      </w:pPr>
      <w:r>
        <w:rPr>
          <w:rFonts w:ascii="Times New Roman" w:hAnsi="Times New Roman"/>
          <w:sz w:val="20"/>
        </w:rPr>
        <w:t>(2) Includes: 8,047,048 shares of Common Stock held in trust for her children, with respect to which she serves as trustee; 919,721 shares of Common Stock held in trust for her grandchildren, with respect to which she serves as trustee; 5,120,555 shares of Common Stock owned by Gulf Capital Services, LLLP; and 55,000 shares of Series D Preferred Stock owned by Delta Life Insurance Company (“Delta Life”); all of which entities are controlled by the estate of Mrs. Robinson.</w:t>
      </w:r>
    </w:p>
    <w:p>
      <w:pPr>
        <w:pStyle w:val="TextBody"/>
        <w:bidi w:val="0"/>
        <w:spacing w:before="0" w:after="0"/>
        <w:jc w:val="both"/>
        <w:rPr>
          <w:rFonts w:ascii="Times New Roman" w:hAnsi="Times New Roman"/>
          <w:sz w:val="20"/>
        </w:rPr>
      </w:pPr>
      <w:r>
        <w:rPr>
          <w:rFonts w:ascii="Times New Roman" w:hAnsi="Times New Roman"/>
          <w:sz w:val="20"/>
        </w:rPr>
        <w:t>(3) Includes: 318,046 shares held pursuant to the Company’s 401(k) Plan; and 34,075 shares owned directly or indirectly by his wife, excluding shares held in a trust for her benefit over which she does not have voting or dispositive power.</w:t>
      </w:r>
    </w:p>
    <w:p>
      <w:pPr>
        <w:pStyle w:val="TextBody"/>
        <w:bidi w:val="0"/>
        <w:spacing w:before="0" w:after="0"/>
        <w:jc w:val="both"/>
        <w:rPr>
          <w:rFonts w:ascii="Times New Roman" w:hAnsi="Times New Roman"/>
          <w:sz w:val="20"/>
        </w:rPr>
      </w:pPr>
      <w:r>
        <w:rPr>
          <w:rFonts w:ascii="Times New Roman" w:hAnsi="Times New Roman"/>
          <w:sz w:val="20"/>
        </w:rPr>
        <w:t>(4) Includes: 3,954,281 shares held in a trust for her benefit over which the estate of Harriett J. Robinson serves as trustee; and 2,175 shares held in an individual retirement account. Does not include any shares held by Mr. Howell (see note 3 above).</w:t>
      </w:r>
    </w:p>
    <w:p>
      <w:pPr>
        <w:pStyle w:val="TextBody"/>
        <w:bidi w:val="0"/>
        <w:spacing w:before="0" w:after="0"/>
        <w:jc w:val="both"/>
        <w:rPr>
          <w:rFonts w:ascii="Times New Roman" w:hAnsi="Times New Roman"/>
          <w:sz w:val="20"/>
        </w:rPr>
      </w:pPr>
      <w:r>
        <w:rPr>
          <w:rFonts w:ascii="Times New Roman" w:hAnsi="Times New Roman"/>
          <w:sz w:val="20"/>
        </w:rPr>
        <w:t>(5) See notes 2 through 4 above.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Equity Compensation Plan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as of December 31, 2025, the number of securities issuable upon exercise of outstanding options, warrants and rights, the weighted average exercise price thereof and the number of securities remaining available for future issuance under the Company’s equity compensation plans: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246"/>
        <w:gridCol w:w="90"/>
        <w:gridCol w:w="625"/>
        <w:gridCol w:w="869"/>
        <w:gridCol w:w="90"/>
        <w:gridCol w:w="90"/>
        <w:gridCol w:w="1126"/>
        <w:gridCol w:w="829"/>
        <w:gridCol w:w="90"/>
        <w:gridCol w:w="90"/>
        <w:gridCol w:w="158"/>
        <w:gridCol w:w="1779"/>
        <w:gridCol w:w="123"/>
      </w:tblGrid>
      <w:tr>
        <w:trPr/>
        <w:tc>
          <w:tcPr>
            <w:tcW w:w="4246" w:type="dxa"/>
            <w:tcBorders>
              <w:bottom w:val="single" w:sz="12" w:space="0" w:color="000000"/>
            </w:tcBorders>
            <w:vAlign w:val="center"/>
          </w:tcPr>
          <w:p>
            <w:pPr>
              <w:pStyle w:val="TableContents"/>
              <w:bidi w:val="0"/>
              <w:spacing w:before="0" w:after="0"/>
              <w:jc w:val="left"/>
              <w:rPr>
                <w:b/>
              </w:rPr>
            </w:pPr>
            <w:r>
              <w:rPr>
                <w:b/>
              </w:rPr>
              <w:t>Plan Category</w:t>
            </w:r>
          </w:p>
        </w:tc>
        <w:tc>
          <w:tcPr>
            <w:tcW w:w="90" w:type="dxa"/>
            <w:tcBorders/>
            <w:tcMar>
              <w:bottom w:w="0" w:type="dxa"/>
            </w:tcMar>
            <w:vAlign w:val="bottom"/>
          </w:tcPr>
          <w:p>
            <w:pPr>
              <w:pStyle w:val="TableContents"/>
              <w:bidi w:val="0"/>
              <w:spacing w:before="0" w:after="283"/>
              <w:jc w:val="left"/>
              <w:rPr/>
            </w:pPr>
            <w:r>
              <w:rPr/>
              <w:t> </w:t>
            </w:r>
          </w:p>
        </w:tc>
        <w:tc>
          <w:tcPr>
            <w:tcW w:w="1494" w:type="dxa"/>
            <w:gridSpan w:val="2"/>
            <w:tcBorders>
              <w:bottom w:val="single" w:sz="12" w:space="0" w:color="000000"/>
            </w:tcBorders>
            <w:vAlign w:val="center"/>
          </w:tcPr>
          <w:p>
            <w:pPr>
              <w:pStyle w:val="TableContents"/>
              <w:bidi w:val="0"/>
              <w:spacing w:before="0" w:after="0"/>
              <w:jc w:val="center"/>
              <w:rPr>
                <w:b/>
              </w:rPr>
            </w:pPr>
            <w:r>
              <w:rPr>
                <w:b/>
              </w:rPr>
              <w:t>Number of</w:t>
            </w:r>
          </w:p>
          <w:p>
            <w:pPr>
              <w:pStyle w:val="TableContents"/>
              <w:bidi w:val="0"/>
              <w:spacing w:before="0" w:after="0"/>
              <w:jc w:val="center"/>
              <w:rPr>
                <w:b/>
              </w:rPr>
            </w:pPr>
            <w:r>
              <w:rPr>
                <w:b/>
              </w:rPr>
              <w:t>Securities to Be</w:t>
            </w:r>
          </w:p>
          <w:p>
            <w:pPr>
              <w:pStyle w:val="TableContents"/>
              <w:bidi w:val="0"/>
              <w:spacing w:before="0" w:after="0"/>
              <w:jc w:val="center"/>
              <w:rPr>
                <w:b/>
              </w:rPr>
            </w:pPr>
            <w:r>
              <w:rPr>
                <w:b/>
              </w:rPr>
              <w:t>Issued Upon</w:t>
            </w:r>
          </w:p>
          <w:p>
            <w:pPr>
              <w:pStyle w:val="TableContents"/>
              <w:bidi w:val="0"/>
              <w:spacing w:before="0" w:after="0"/>
              <w:jc w:val="center"/>
              <w:rPr>
                <w:b/>
              </w:rPr>
            </w:pPr>
            <w:r>
              <w:rPr>
                <w:b/>
              </w:rPr>
              <w:t>Exercise of</w:t>
            </w:r>
          </w:p>
          <w:p>
            <w:pPr>
              <w:pStyle w:val="TableContents"/>
              <w:bidi w:val="0"/>
              <w:spacing w:before="0" w:after="0"/>
              <w:jc w:val="center"/>
              <w:rPr>
                <w:b/>
              </w:rPr>
            </w:pPr>
            <w:r>
              <w:rPr>
                <w:b/>
              </w:rPr>
              <w:t>Outstanding</w:t>
            </w:r>
          </w:p>
          <w:p>
            <w:pPr>
              <w:pStyle w:val="TableContents"/>
              <w:bidi w:val="0"/>
              <w:spacing w:before="0" w:after="0"/>
              <w:jc w:val="center"/>
              <w:rPr>
                <w:b/>
              </w:rPr>
            </w:pPr>
            <w:r>
              <w:rPr>
                <w:b/>
              </w:rPr>
              <w:t>Options,</w:t>
            </w:r>
          </w:p>
          <w:p>
            <w:pPr>
              <w:pStyle w:val="TableContents"/>
              <w:bidi w:val="0"/>
              <w:spacing w:before="0" w:after="0"/>
              <w:jc w:val="center"/>
              <w:rPr>
                <w:b/>
              </w:rPr>
            </w:pPr>
            <w:r>
              <w:rPr>
                <w:b/>
              </w:rPr>
              <w:t>Warrants</w:t>
            </w:r>
          </w:p>
          <w:p>
            <w:pPr>
              <w:pStyle w:val="TableContents"/>
              <w:bidi w:val="0"/>
              <w:spacing w:before="0" w:after="0"/>
              <w:jc w:val="center"/>
              <w:rPr>
                <w:b/>
              </w:rPr>
            </w:pPr>
            <w:r>
              <w:rPr>
                <w:b/>
              </w:rPr>
              <w:t>and Rights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955" w:type="dxa"/>
            <w:gridSpan w:val="2"/>
            <w:tcBorders>
              <w:bottom w:val="single" w:sz="12" w:space="0" w:color="000000"/>
            </w:tcBorders>
            <w:vAlign w:val="center"/>
          </w:tcPr>
          <w:p>
            <w:pPr>
              <w:pStyle w:val="TableContents"/>
              <w:bidi w:val="0"/>
              <w:spacing w:before="0" w:after="0"/>
              <w:jc w:val="center"/>
              <w:rPr>
                <w:b/>
              </w:rPr>
            </w:pPr>
            <w:r>
              <w:rPr>
                <w:b/>
              </w:rPr>
              <w:t>Weighted-Average</w:t>
            </w:r>
          </w:p>
          <w:p>
            <w:pPr>
              <w:pStyle w:val="TableContents"/>
              <w:bidi w:val="0"/>
              <w:spacing w:before="0" w:after="0"/>
              <w:jc w:val="center"/>
              <w:rPr>
                <w:b/>
              </w:rPr>
            </w:pPr>
            <w:r>
              <w:rPr>
                <w:b/>
              </w:rPr>
              <w:t>Exercise Price</w:t>
            </w:r>
          </w:p>
          <w:p>
            <w:pPr>
              <w:pStyle w:val="TableContents"/>
              <w:bidi w:val="0"/>
              <w:spacing w:before="0" w:after="0"/>
              <w:jc w:val="center"/>
              <w:rPr>
                <w:b/>
              </w:rPr>
            </w:pPr>
            <w:r>
              <w:rPr>
                <w:b/>
              </w:rPr>
              <w:t>of Outstanding</w:t>
            </w:r>
          </w:p>
          <w:p>
            <w:pPr>
              <w:pStyle w:val="TableContents"/>
              <w:bidi w:val="0"/>
              <w:spacing w:before="0" w:after="0"/>
              <w:jc w:val="center"/>
              <w:rPr>
                <w:b/>
              </w:rPr>
            </w:pPr>
            <w:r>
              <w:rPr>
                <w:b/>
              </w:rPr>
              <w:t>Options,</w:t>
            </w:r>
          </w:p>
          <w:p>
            <w:pPr>
              <w:pStyle w:val="TableContents"/>
              <w:bidi w:val="0"/>
              <w:spacing w:before="0" w:after="0"/>
              <w:jc w:val="center"/>
              <w:rPr>
                <w:b/>
              </w:rPr>
            </w:pPr>
            <w:r>
              <w:rPr>
                <w:b/>
              </w:rPr>
              <w:t>Warrants</w:t>
            </w:r>
          </w:p>
          <w:p>
            <w:pPr>
              <w:pStyle w:val="TableContents"/>
              <w:bidi w:val="0"/>
              <w:spacing w:before="0" w:after="0"/>
              <w:jc w:val="center"/>
              <w:rPr>
                <w:b/>
              </w:rPr>
            </w:pPr>
            <w:r>
              <w:rPr>
                <w:b/>
              </w:rPr>
              <w:t>and Rights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937" w:type="dxa"/>
            <w:gridSpan w:val="2"/>
            <w:tcBorders>
              <w:bottom w:val="single" w:sz="12" w:space="0" w:color="000000"/>
            </w:tcBorders>
            <w:vAlign w:val="center"/>
          </w:tcPr>
          <w:p>
            <w:pPr>
              <w:pStyle w:val="TableContents"/>
              <w:bidi w:val="0"/>
              <w:spacing w:before="0" w:after="0"/>
              <w:jc w:val="center"/>
              <w:rPr>
                <w:b/>
              </w:rPr>
            </w:pPr>
            <w:r>
              <w:rPr>
                <w:b/>
              </w:rPr>
              <w:t>Number of Securities</w:t>
            </w:r>
          </w:p>
          <w:p>
            <w:pPr>
              <w:pStyle w:val="TableContents"/>
              <w:bidi w:val="0"/>
              <w:spacing w:before="0" w:after="0"/>
              <w:jc w:val="center"/>
              <w:rPr>
                <w:b/>
              </w:rPr>
            </w:pPr>
            <w:r>
              <w:rPr>
                <w:b/>
              </w:rPr>
              <w:t>Remaining Available</w:t>
            </w:r>
          </w:p>
          <w:p>
            <w:pPr>
              <w:pStyle w:val="TableContents"/>
              <w:bidi w:val="0"/>
              <w:spacing w:before="0" w:after="0"/>
              <w:jc w:val="center"/>
              <w:rPr>
                <w:b/>
              </w:rPr>
            </w:pPr>
            <w:r>
              <w:rPr>
                <w:b/>
              </w:rPr>
              <w:t>for Future Issuance</w:t>
            </w:r>
          </w:p>
          <w:p>
            <w:pPr>
              <w:pStyle w:val="TableContents"/>
              <w:bidi w:val="0"/>
              <w:spacing w:before="0" w:after="0"/>
              <w:jc w:val="center"/>
              <w:rPr>
                <w:b/>
              </w:rPr>
            </w:pPr>
            <w:r>
              <w:rPr>
                <w:b/>
              </w:rPr>
              <w:t>Under Equity</w:t>
            </w:r>
          </w:p>
          <w:p>
            <w:pPr>
              <w:pStyle w:val="TableContents"/>
              <w:bidi w:val="0"/>
              <w:spacing w:before="0" w:after="0"/>
              <w:jc w:val="center"/>
              <w:rPr>
                <w:b/>
              </w:rPr>
            </w:pPr>
            <w:r>
              <w:rPr>
                <w:b/>
              </w:rPr>
              <w:t>Compensation Plans</w:t>
            </w:r>
          </w:p>
          <w:p>
            <w:pPr>
              <w:pStyle w:val="TableContents"/>
              <w:bidi w:val="0"/>
              <w:spacing w:before="0" w:after="0"/>
              <w:jc w:val="center"/>
              <w:rPr>
                <w:b/>
              </w:rPr>
            </w:pPr>
            <w:r>
              <w:rPr>
                <w:b/>
              </w:rPr>
              <w:t>(Excluding Securities</w:t>
            </w:r>
          </w:p>
          <w:p>
            <w:pPr>
              <w:pStyle w:val="TableContents"/>
              <w:bidi w:val="0"/>
              <w:spacing w:before="0" w:after="0"/>
              <w:jc w:val="center"/>
              <w:rPr>
                <w:b/>
              </w:rPr>
            </w:pPr>
            <w:r>
              <w:rPr>
                <w:b/>
              </w:rPr>
              <w:t>Reflected in the</w:t>
            </w:r>
          </w:p>
          <w:p>
            <w:pPr>
              <w:pStyle w:val="TableContents"/>
              <w:bidi w:val="0"/>
              <w:spacing w:before="0" w:after="0"/>
              <w:jc w:val="center"/>
              <w:rPr>
                <w:b/>
              </w:rPr>
            </w:pPr>
            <w:r>
              <w:rPr>
                <w:b/>
              </w:rPr>
              <w:t>First Column)</w:t>
            </w:r>
          </w:p>
        </w:tc>
        <w:tc>
          <w:tcPr>
            <w:tcW w:w="123" w:type="dxa"/>
            <w:tcBorders/>
            <w:tcMar>
              <w:bottom w:w="0" w:type="dxa"/>
            </w:tcMar>
            <w:vAlign w:val="bottom"/>
          </w:tcPr>
          <w:p>
            <w:pPr>
              <w:pStyle w:val="TableContents"/>
              <w:bidi w:val="0"/>
              <w:spacing w:before="0" w:after="283"/>
              <w:jc w:val="left"/>
              <w:rPr/>
            </w:pPr>
            <w:r>
              <w:rPr/>
              <w:t> </w:t>
            </w:r>
          </w:p>
        </w:tc>
      </w:tr>
      <w:tr>
        <w:trPr/>
        <w:tc>
          <w:tcPr>
            <w:tcW w:w="4246" w:type="dxa"/>
            <w:tcBorders/>
            <w:shd w:fill="CCEEFF" w:val="clear"/>
            <w:tcMar>
              <w:bottom w:w="0" w:type="dxa"/>
            </w:tcMar>
            <w:vAlign w:val="bottom"/>
          </w:tcPr>
          <w:p>
            <w:pPr>
              <w:pStyle w:val="TableContents"/>
              <w:bidi w:val="0"/>
              <w:spacing w:before="0" w:after="0"/>
              <w:jc w:val="left"/>
              <w:rPr/>
            </w:pPr>
            <w:r>
              <w:rPr/>
              <w:t>Equity compensation plans approved by security holders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625" w:type="dxa"/>
            <w:tcBorders/>
            <w:shd w:fill="CCEEFF" w:val="clear"/>
            <w:tcMar>
              <w:bottom w:w="0" w:type="dxa"/>
            </w:tcMar>
            <w:vAlign w:val="bottom"/>
          </w:tcPr>
          <w:p>
            <w:pPr>
              <w:pStyle w:val="TableContents"/>
              <w:bidi w:val="0"/>
              <w:spacing w:before="0" w:after="283"/>
              <w:jc w:val="left"/>
              <w:rPr/>
            </w:pPr>
            <w:r>
              <w:rPr/>
              <w:t> </w:t>
            </w:r>
          </w:p>
        </w:tc>
        <w:tc>
          <w:tcPr>
            <w:tcW w:w="869"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26" w:type="dxa"/>
            <w:tcBorders/>
            <w:shd w:fill="CCEEFF" w:val="clear"/>
            <w:tcMar>
              <w:bottom w:w="0" w:type="dxa"/>
            </w:tcMar>
            <w:vAlign w:val="bottom"/>
          </w:tcPr>
          <w:p>
            <w:pPr>
              <w:pStyle w:val="TableContents"/>
              <w:bidi w:val="0"/>
              <w:spacing w:before="0" w:after="0"/>
              <w:jc w:val="left"/>
              <w:rPr/>
            </w:pPr>
            <w:r>
              <w:rPr/>
              <w:t>$</w:t>
            </w:r>
          </w:p>
        </w:tc>
        <w:tc>
          <w:tcPr>
            <w:tcW w:w="829"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8" w:type="dxa"/>
            <w:tcBorders/>
            <w:shd w:fill="CCEEFF" w:val="clear"/>
            <w:tcMar>
              <w:bottom w:w="0" w:type="dxa"/>
            </w:tcMar>
            <w:vAlign w:val="bottom"/>
          </w:tcPr>
          <w:p>
            <w:pPr>
              <w:pStyle w:val="TableContents"/>
              <w:bidi w:val="0"/>
              <w:spacing w:before="0" w:after="283"/>
              <w:jc w:val="left"/>
              <w:rPr/>
            </w:pPr>
            <w:r>
              <w:rPr/>
              <w:t> </w:t>
            </w:r>
          </w:p>
        </w:tc>
        <w:tc>
          <w:tcPr>
            <w:tcW w:w="1779" w:type="dxa"/>
            <w:tcBorders/>
            <w:shd w:fill="CCEEFF" w:val="clear"/>
            <w:tcMar>
              <w:bottom w:w="0" w:type="dxa"/>
            </w:tcMar>
            <w:vAlign w:val="bottom"/>
          </w:tcPr>
          <w:p>
            <w:pPr>
              <w:pStyle w:val="TableContents"/>
              <w:bidi w:val="0"/>
              <w:spacing w:before="0" w:after="0"/>
              <w:jc w:val="right"/>
              <w:rPr/>
            </w:pPr>
            <w:r>
              <w:rPr/>
              <w:t>2,960,000</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246" w:type="dxa"/>
            <w:tcBorders/>
            <w:tcMar>
              <w:bottom w:w="0" w:type="dxa"/>
            </w:tcMar>
            <w:vAlign w:val="bottom"/>
          </w:tcPr>
          <w:p>
            <w:pPr>
              <w:pStyle w:val="TableContents"/>
              <w:bidi w:val="0"/>
              <w:spacing w:lineRule="auto" w:line="240" w:before="0" w:after="0"/>
              <w:jc w:val="left"/>
              <w:rPr/>
            </w:pPr>
            <w:r>
              <w:rPr/>
              <w:t>Equity compensation plans not approved by security holders(1)</w:t>
            </w:r>
          </w:p>
        </w:tc>
        <w:tc>
          <w:tcPr>
            <w:tcW w:w="90" w:type="dxa"/>
            <w:tcBorders/>
            <w:tcMar>
              <w:bottom w:w="0" w:type="dxa"/>
            </w:tcMar>
            <w:vAlign w:val="bottom"/>
          </w:tcPr>
          <w:p>
            <w:pPr>
              <w:pStyle w:val="TableContents"/>
              <w:bidi w:val="0"/>
              <w:spacing w:before="0" w:after="283"/>
              <w:jc w:val="left"/>
              <w:rPr/>
            </w:pPr>
            <w:r>
              <w:rPr/>
              <w:t> </w:t>
            </w:r>
          </w:p>
        </w:tc>
        <w:tc>
          <w:tcPr>
            <w:tcW w:w="625" w:type="dxa"/>
            <w:tcBorders>
              <w:bottom w:val="single" w:sz="12" w:space="0" w:color="000000"/>
            </w:tcBorders>
            <w:vAlign w:val="bottom"/>
          </w:tcPr>
          <w:p>
            <w:pPr>
              <w:pStyle w:val="TableContents"/>
              <w:bidi w:val="0"/>
              <w:spacing w:before="0" w:after="283"/>
              <w:jc w:val="left"/>
              <w:rPr/>
            </w:pPr>
            <w:r>
              <w:rPr/>
              <w:t> </w:t>
            </w:r>
          </w:p>
        </w:tc>
        <w:tc>
          <w:tcPr>
            <w:tcW w:w="869" w:type="dxa"/>
            <w:tcBorders>
              <w:bottom w:val="single" w:sz="12"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26" w:type="dxa"/>
            <w:tcBorders>
              <w:bottom w:val="single" w:sz="12" w:space="0" w:color="000000"/>
            </w:tcBorders>
            <w:vAlign w:val="bottom"/>
          </w:tcPr>
          <w:p>
            <w:pPr>
              <w:pStyle w:val="TableContents"/>
              <w:bidi w:val="0"/>
              <w:spacing w:before="0" w:after="283"/>
              <w:jc w:val="left"/>
              <w:rPr/>
            </w:pPr>
            <w:r>
              <w:rPr/>
              <w:t> </w:t>
            </w:r>
          </w:p>
        </w:tc>
        <w:tc>
          <w:tcPr>
            <w:tcW w:w="829" w:type="dxa"/>
            <w:tcBorders>
              <w:bottom w:val="single" w:sz="12"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8" w:type="dxa"/>
            <w:tcBorders>
              <w:bottom w:val="single" w:sz="12" w:space="0" w:color="000000"/>
            </w:tcBorders>
            <w:vAlign w:val="bottom"/>
          </w:tcPr>
          <w:p>
            <w:pPr>
              <w:pStyle w:val="TableContents"/>
              <w:bidi w:val="0"/>
              <w:spacing w:before="0" w:after="283"/>
              <w:jc w:val="left"/>
              <w:rPr/>
            </w:pPr>
            <w:r>
              <w:rPr/>
              <w:t> </w:t>
            </w:r>
          </w:p>
        </w:tc>
        <w:tc>
          <w:tcPr>
            <w:tcW w:w="1779" w:type="dxa"/>
            <w:tcBorders>
              <w:bottom w:val="single" w:sz="12" w:space="0" w:color="000000"/>
            </w:tcBorders>
            <w:vAlign w:val="bottom"/>
          </w:tcPr>
          <w:p>
            <w:pPr>
              <w:pStyle w:val="TableContents"/>
              <w:bidi w:val="0"/>
              <w:spacing w:before="0" w:after="0"/>
              <w:jc w:val="right"/>
              <w:rPr/>
            </w:pPr>
            <w:r>
              <w:rPr/>
              <w:t>-</w:t>
            </w:r>
          </w:p>
        </w:tc>
        <w:tc>
          <w:tcPr>
            <w:tcW w:w="123" w:type="dxa"/>
            <w:tcBorders/>
            <w:tcMar>
              <w:bottom w:w="0" w:type="dxa"/>
            </w:tcMar>
            <w:vAlign w:val="bottom"/>
          </w:tcPr>
          <w:p>
            <w:pPr>
              <w:pStyle w:val="TableContents"/>
              <w:bidi w:val="0"/>
              <w:spacing w:before="0" w:after="283"/>
              <w:jc w:val="left"/>
              <w:rPr/>
            </w:pPr>
            <w:r>
              <w:rPr/>
              <w:t> </w:t>
            </w:r>
          </w:p>
        </w:tc>
      </w:tr>
      <w:tr>
        <w:trPr/>
        <w:tc>
          <w:tcPr>
            <w:tcW w:w="4246" w:type="dxa"/>
            <w:tcBorders/>
            <w:shd w:fill="CCEEFF" w:val="clear"/>
            <w:tcMar>
              <w:bottom w:w="0" w:type="dxa"/>
            </w:tcMar>
            <w:vAlign w:val="bottom"/>
          </w:tcPr>
          <w:p>
            <w:pPr>
              <w:pStyle w:val="TableContents"/>
              <w:bidi w:val="0"/>
              <w:spacing w:before="0" w:after="0"/>
              <w:jc w:val="left"/>
              <w:rPr/>
            </w:pPr>
            <w:r>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625" w:type="dxa"/>
            <w:tcBorders>
              <w:bottom w:val="double" w:sz="8" w:space="0" w:color="000000"/>
            </w:tcBorders>
            <w:shd w:fill="CCEEFF" w:val="clear"/>
            <w:vAlign w:val="bottom"/>
          </w:tcPr>
          <w:p>
            <w:pPr>
              <w:pStyle w:val="TableContents"/>
              <w:bidi w:val="0"/>
              <w:spacing w:before="0" w:after="283"/>
              <w:jc w:val="left"/>
              <w:rPr/>
            </w:pPr>
            <w:r>
              <w:rPr/>
              <w:t> </w:t>
            </w:r>
          </w:p>
        </w:tc>
        <w:tc>
          <w:tcPr>
            <w:tcW w:w="869" w:type="dxa"/>
            <w:tcBorders>
              <w:bottom w:val="double" w:sz="8"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26" w:type="dxa"/>
            <w:tcBorders>
              <w:bottom w:val="double" w:sz="8" w:space="0" w:color="000000"/>
            </w:tcBorders>
            <w:shd w:fill="CCEEFF" w:val="clear"/>
            <w:vAlign w:val="bottom"/>
          </w:tcPr>
          <w:p>
            <w:pPr>
              <w:pStyle w:val="TableContents"/>
              <w:bidi w:val="0"/>
              <w:spacing w:before="0" w:after="0"/>
              <w:jc w:val="left"/>
              <w:rPr/>
            </w:pPr>
            <w:r>
              <w:rPr/>
              <w:t>$</w:t>
            </w:r>
          </w:p>
        </w:tc>
        <w:tc>
          <w:tcPr>
            <w:tcW w:w="829" w:type="dxa"/>
            <w:tcBorders>
              <w:bottom w:val="double" w:sz="8"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8" w:type="dxa"/>
            <w:tcBorders>
              <w:bottom w:val="double" w:sz="8" w:space="0" w:color="000000"/>
            </w:tcBorders>
            <w:shd w:fill="CCEEFF" w:val="clear"/>
            <w:vAlign w:val="bottom"/>
          </w:tcPr>
          <w:p>
            <w:pPr>
              <w:pStyle w:val="TableContents"/>
              <w:bidi w:val="0"/>
              <w:spacing w:before="0" w:after="283"/>
              <w:jc w:val="left"/>
              <w:rPr/>
            </w:pPr>
            <w:r>
              <w:rPr/>
              <w:t> </w:t>
            </w:r>
          </w:p>
        </w:tc>
        <w:tc>
          <w:tcPr>
            <w:tcW w:w="1779" w:type="dxa"/>
            <w:tcBorders>
              <w:bottom w:val="double" w:sz="8" w:space="0" w:color="000000"/>
            </w:tcBorders>
            <w:shd w:fill="CCEEFF" w:val="clear"/>
            <w:vAlign w:val="bottom"/>
          </w:tcPr>
          <w:p>
            <w:pPr>
              <w:pStyle w:val="TableContents"/>
              <w:bidi w:val="0"/>
              <w:spacing w:before="0" w:after="0"/>
              <w:jc w:val="right"/>
              <w:rPr/>
            </w:pPr>
            <w:r>
              <w:rPr/>
              <w:t>2,960,000</w:t>
            </w:r>
          </w:p>
        </w:tc>
        <w:tc>
          <w:tcPr>
            <w:tcW w:w="123"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(1) All of the Company’s equity compensation plans have been approved by the Company’s shareholders.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4" w:name="zffc8321783c545b197ab44ea23149f02"/>
      <w:bookmarkStart w:id="355" w:name="CertainRelationshipsandRe"/>
      <w:bookmarkStart w:id="356" w:name="zffc8321783c545b197ab44ea23149f02"/>
      <w:bookmarkStart w:id="357" w:name="CertainRelationshipsandRe"/>
      <w:bookmarkEnd w:id="356"/>
      <w:bookmarkEnd w:id="357"/>
    </w:p>
    <w:tbl>
      <w:tblPr>
        <w:tblW w:w="8770" w:type="dxa"/>
        <w:jc w:val="left"/>
        <w:tblInd w:w="0" w:type="dxa"/>
        <w:tblLayout w:type="fixed"/>
        <w:tblCellMar>
          <w:top w:w="0" w:type="dxa"/>
          <w:left w:w="0" w:type="dxa"/>
          <w:bottom w:w="0" w:type="dxa"/>
          <w:right w:w="0" w:type="dxa"/>
        </w:tblCellMar>
      </w:tblPr>
      <w:tblGrid>
        <w:gridCol w:w="890"/>
        <w:gridCol w:w="7880"/>
      </w:tblGrid>
      <w:tr>
        <w:trPr/>
        <w:tc>
          <w:tcPr>
            <w:tcW w:w="890" w:type="dxa"/>
            <w:tcBorders/>
            <w:vAlign w:val="center"/>
          </w:tcPr>
          <w:p>
            <w:pPr>
              <w:pStyle w:val="TableContents"/>
              <w:bidi w:val="0"/>
              <w:spacing w:before="0" w:after="283"/>
              <w:jc w:val="left"/>
              <w:rPr>
                <w:b/>
              </w:rPr>
            </w:pPr>
            <w:r>
              <w:rPr>
                <w:b/>
              </w:rPr>
              <w:t>Item 13.</w:t>
            </w:r>
          </w:p>
        </w:tc>
        <w:tc>
          <w:tcPr>
            <w:tcW w:w="7880" w:type="dxa"/>
            <w:tcBorders/>
            <w:vAlign w:val="center"/>
          </w:tcPr>
          <w:p>
            <w:pPr>
              <w:pStyle w:val="TableContents"/>
              <w:bidi w:val="0"/>
              <w:spacing w:before="0" w:after="0"/>
              <w:jc w:val="left"/>
              <w:rPr>
                <w:b/>
              </w:rPr>
            </w:pPr>
            <w:r>
              <w:rPr>
                <w:b/>
              </w:rPr>
              <w:t>Certain Relationships and Related Transactions, and Director Independence</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currently leases space for its principal offices, as well as the principal offices of certain of its subsidiaries, from 4370 Peachtree LLC. 4370 Peachtree LLC is controlled by the estate of Harriett J. Robinson, a greater than 5% holder of the outstanding shares of Common Stock of the Company and a former member of our Board of Directors. Under the terms of the lease, the Company pays annual rent of approximately $0.6 million, plus a pro rata share of all real estate taxes, general maintenance and service expenses and insurance costs with respect to the office building and related facilities. The lease does not have a set termination date, but is terminable by either party with at least twelve months advance notice. In 2025 and 2024, the Company paid approximately $1.4 million and $1.2 million, respectively, to 4370 Peachtree LLC under the terms of the lease.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In 2025 and 2024, Gray paid the Company approximately $2.1 million and $2.2 million, respectively, in insurance premiums related to certain voluntary employee benefits plans. Mr. Howell is the executive chairman and chief executive officer, and a director, and Mrs. Howell is a director, of Gray.</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outstanding 55,000 shares of its Series D Preferred Stock, all of which are owned by Delta Life. Delta Life is controlled by the estate of Harriett J. Robinson, a greater than 5% holder of the outstanding shares of Common Stock of the Company and a former member of our Board of Directors. In addition, Mr. Howell and Mrs. Howell are officers, directors and/or shareholders in Delta Life. The outstanding shares of Series D Preferred Stock have a par value of $1 per share and redemption value of $100 per share; accrue annual dividends at a rate of $7.25 per share (payable in cash or shares of the Company’s common stock at the option of the Board of Directors of the Company) and are cumulative; in certain circumstances may be convertible into an aggregate of approximately 1,378,000 shares of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The Company had accrued, but unpaid, dividends, on the Series D Preferred Stock of $17,722 at December 31, 2025 and 2024. During 2025 and 2024, the Company paid Series D Preferred Stock dividends of $0.4 million.</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Information regarding the independence of the members of our Board of Directors is contained above under the heading “Item 10. Directors, Executive Officers and Corporate Governance – Committees of the Board of Directors.”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8" w:name="zb151fd9bc36947c4a368e3424b793c7a"/>
      <w:bookmarkStart w:id="359" w:name="PrincipalAccountantFeesan"/>
      <w:bookmarkStart w:id="360" w:name="zb151fd9bc36947c4a368e3424b793c7a"/>
      <w:bookmarkStart w:id="361" w:name="PrincipalAccountantFeesan"/>
      <w:bookmarkEnd w:id="360"/>
      <w:bookmarkEnd w:id="361"/>
    </w:p>
    <w:tbl>
      <w:tblPr>
        <w:tblW w:w="5005" w:type="dxa"/>
        <w:jc w:val="left"/>
        <w:tblInd w:w="0" w:type="dxa"/>
        <w:tblLayout w:type="fixed"/>
        <w:tblCellMar>
          <w:top w:w="0" w:type="dxa"/>
          <w:left w:w="0" w:type="dxa"/>
          <w:bottom w:w="0" w:type="dxa"/>
          <w:right w:w="0" w:type="dxa"/>
        </w:tblCellMar>
      </w:tblPr>
      <w:tblGrid>
        <w:gridCol w:w="890"/>
        <w:gridCol w:w="4115"/>
      </w:tblGrid>
      <w:tr>
        <w:trPr/>
        <w:tc>
          <w:tcPr>
            <w:tcW w:w="890" w:type="dxa"/>
            <w:tcBorders/>
            <w:vAlign w:val="center"/>
          </w:tcPr>
          <w:p>
            <w:pPr>
              <w:pStyle w:val="TableContents"/>
              <w:bidi w:val="0"/>
              <w:spacing w:before="0" w:after="283"/>
              <w:jc w:val="left"/>
              <w:rPr>
                <w:b/>
              </w:rPr>
            </w:pPr>
            <w:r>
              <w:rPr>
                <w:b/>
              </w:rPr>
              <w:t>Item 14.</w:t>
            </w:r>
          </w:p>
        </w:tc>
        <w:tc>
          <w:tcPr>
            <w:tcW w:w="4115" w:type="dxa"/>
            <w:tcBorders/>
            <w:vAlign w:val="center"/>
          </w:tcPr>
          <w:p>
            <w:pPr>
              <w:pStyle w:val="TableContents"/>
              <w:bidi w:val="0"/>
              <w:spacing w:before="0" w:after="0"/>
              <w:jc w:val="left"/>
              <w:rPr>
                <w:b/>
              </w:rPr>
            </w:pPr>
            <w:r>
              <w:rPr>
                <w:b/>
              </w:rPr>
              <w:t>Principal Accountant Fees and Services</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Audit Committee is required by law and applicable Nasdaq Rules, as well as the Audit Committee Charter, to be directly responsible for the appointment, compensation and retention of the Company’s independent registered public accounting firm. The Audit Committee has appointed Forvis Mazars, LLP as the Company’s independent registered public accounting firm for the fiscal year ending December 31, 2026.</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Audit Fees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paid or expects to pay Forvis approximately $1,107,000, in the aggregate, for professional services it rendered for the audit of the Company’s consolidated financial statements and audits of subsidiary company statutory reports for the fiscal year ended December 31, 2025 and the reviews of the interim financial statements included in our quarterly reports on Form 10-Q filed during the fiscal year ended December 31, 2025. The Company paid Forvis approximately $682,000, in the aggregate, for professional services it rendered for the audit of the Company’s consolidated financial statements and audits of subsidiary company statutory reports for the fiscal year ended December 31, 2024 and the reviews of the interim financial statements included in our quarterly reports on Form 10-Q during the fiscal year ended December 31, 2024.</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Audit-Related Fees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paid or expects to pay Forvis approximately $36,000 to audit the December 31, 2025 financial statements of The Atlantic American Corporation 401(k) Retirement Savings Plan (the “Plan”). During the fiscal year ended December 31, 2025, the Company paid Forvis approximately $36,000 to audit the December 31, 2024 financial statements of the Plan. During the fiscal year ended December 31, 2024, the Company paid Forvis approximately $32,400 for the audit of the December 31, 2023 financial statements of the Plan.</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Tax Fees</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 were no tax fees paid to Forvis in 2025 or 2024.</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All Other Fees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Forvis did not provide any other category of products and services to the Company during the fiscal years ended December 31, 2025 or 2024 and, accordingly, no other fees were paid thereto in either 2025 or 2024.</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Audit Committee considers whether the provision of non-audit services by the Company’s independent registered public accounting firm is compatible with maintaining auditor independence. All audit and non-audit services to be performed by the Company’s independent registered public accounting firm must be, and for 2025 and 2024 were, approved in advance by the Audit Committee. Pursuant to the Audit Committee’s Audit and Non-Audit Services Pre-Approval Policy (the “Policy”) and as permitted by SEC rules, the Audit Committee may delegate pre-approval authority to any of its members, provided that any service approved in this manner is reported to the full Audit Committee at its next meeting.</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Policy provides for a general pre-approval of certain specifically enumerated services that are to be provided within specified fee levels. With respect to requests to provide specifically enumerated services not specifically pre-approved pursuant to such general grant, such requests must be submitted to the Audit Committee by both the independent registered public accounting firm and the CFO, and must include a joint statement as to whether, in their view, the request is consistent with SEC rules on auditor independence. Such requests must also be specific as to the nature of the proposed service, the proposed fee and any other details the Audit Committee may request.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2" w:name="zd2b3037f146043df890dc69834dc80bb"/>
      <w:bookmarkStart w:id="363" w:name="ExhibitsandFinancialState"/>
      <w:bookmarkStart w:id="364" w:name="zd2b3037f146043df890dc69834dc80bb"/>
      <w:bookmarkStart w:id="365" w:name="ExhibitsandFinancialState"/>
      <w:bookmarkEnd w:id="364"/>
      <w:bookmarkEnd w:id="365"/>
    </w:p>
    <w:tbl>
      <w:tblPr>
        <w:tblW w:w="5425" w:type="dxa"/>
        <w:jc w:val="left"/>
        <w:tblInd w:w="0" w:type="dxa"/>
        <w:tblLayout w:type="fixed"/>
        <w:tblCellMar>
          <w:top w:w="0" w:type="dxa"/>
          <w:left w:w="0" w:type="dxa"/>
          <w:bottom w:w="0" w:type="dxa"/>
          <w:right w:w="0" w:type="dxa"/>
        </w:tblCellMar>
      </w:tblPr>
      <w:tblGrid>
        <w:gridCol w:w="890"/>
        <w:gridCol w:w="4535"/>
      </w:tblGrid>
      <w:tr>
        <w:trPr/>
        <w:tc>
          <w:tcPr>
            <w:tcW w:w="890" w:type="dxa"/>
            <w:tcBorders/>
            <w:vAlign w:val="center"/>
          </w:tcPr>
          <w:p>
            <w:pPr>
              <w:pStyle w:val="TableContents"/>
              <w:bidi w:val="0"/>
              <w:spacing w:before="0" w:after="283"/>
              <w:jc w:val="left"/>
              <w:rPr>
                <w:b/>
              </w:rPr>
            </w:pPr>
            <w:r>
              <w:rPr>
                <w:b/>
              </w:rPr>
              <w:t>Item 15.</w:t>
            </w:r>
          </w:p>
        </w:tc>
        <w:tc>
          <w:tcPr>
            <w:tcW w:w="4535" w:type="dxa"/>
            <w:tcBorders/>
            <w:vAlign w:val="center"/>
          </w:tcPr>
          <w:p>
            <w:pPr>
              <w:pStyle w:val="TableContents"/>
              <w:bidi w:val="0"/>
              <w:spacing w:before="0" w:after="0"/>
              <w:jc w:val="left"/>
              <w:rPr>
                <w:b/>
              </w:rPr>
            </w:pPr>
            <w:r>
              <w:rPr>
                <w:b/>
              </w:rPr>
              <w:t>Exhibits and Financial Statement Schedules</w:t>
            </w:r>
          </w:p>
        </w:tc>
      </w:tr>
    </w:tbl>
    <w:p>
      <w:pPr>
        <w:pStyle w:val="TextBody"/>
        <w:bidi w:val="0"/>
        <w:spacing w:before="0" w:after="0"/>
        <w:jc w:val="both"/>
        <w:rPr/>
      </w:pPr>
      <w:r>
        <w:rPr/>
      </w:r>
    </w:p>
    <w:p>
      <w:pPr>
        <w:pStyle w:val="TextBody"/>
        <w:bidi w:val="0"/>
        <w:spacing w:before="0" w:after="0"/>
        <w:jc w:val="both"/>
        <w:rPr>
          <w:rFonts w:ascii="Times New Roman" w:hAnsi="Times New Roman"/>
          <w:sz w:val="20"/>
        </w:rPr>
      </w:pPr>
      <w:r>
        <w:rPr>
          <w:rFonts w:ascii="Times New Roman" w:hAnsi="Times New Roman"/>
          <w:sz w:val="20"/>
        </w:rPr>
        <w:t>(a) List of documents filed as part of this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6" w:name="z631b678921fe4ca79fb66d67b76a44a9"/>
      <w:bookmarkStart w:id="367" w:name="z631b678921fe4ca79fb66d67b76a44a9"/>
      <w:bookmarkEnd w:id="367"/>
    </w:p>
    <w:tbl>
      <w:tblPr>
        <w:tblW w:w="2403" w:type="dxa"/>
        <w:jc w:val="left"/>
        <w:tblInd w:w="0" w:type="dxa"/>
        <w:tblLayout w:type="fixed"/>
        <w:tblCellMar>
          <w:top w:w="0" w:type="dxa"/>
          <w:left w:w="0" w:type="dxa"/>
          <w:bottom w:w="0" w:type="dxa"/>
          <w:right w:w="0" w:type="dxa"/>
        </w:tblCellMar>
      </w:tblPr>
      <w:tblGrid>
        <w:gridCol w:w="68"/>
        <w:gridCol w:w="230"/>
        <w:gridCol w:w="210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1.</w:t>
            </w:r>
          </w:p>
        </w:tc>
        <w:tc>
          <w:tcPr>
            <w:tcW w:w="2105" w:type="dxa"/>
            <w:tcBorders/>
            <w:vAlign w:val="center"/>
          </w:tcPr>
          <w:p>
            <w:pPr>
              <w:pStyle w:val="TableContents"/>
              <w:bidi w:val="0"/>
              <w:spacing w:before="0" w:after="0"/>
              <w:jc w:val="both"/>
              <w:rPr/>
            </w:pPr>
            <w:r>
              <w:rPr/>
              <w:t>Financial Statements: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See Index to Financial Statements contained in Item 8 hereof.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8" w:name="z1fe1c302422c4ce993c079c97cd4e947"/>
      <w:bookmarkStart w:id="369" w:name="z1fe1c302422c4ce993c079c97cd4e947"/>
      <w:bookmarkEnd w:id="369"/>
    </w:p>
    <w:tbl>
      <w:tblPr>
        <w:tblW w:w="3333" w:type="dxa"/>
        <w:jc w:val="left"/>
        <w:tblInd w:w="0" w:type="dxa"/>
        <w:tblLayout w:type="fixed"/>
        <w:tblCellMar>
          <w:top w:w="0" w:type="dxa"/>
          <w:left w:w="0" w:type="dxa"/>
          <w:bottom w:w="0" w:type="dxa"/>
          <w:right w:w="0" w:type="dxa"/>
        </w:tblCellMar>
      </w:tblPr>
      <w:tblGrid>
        <w:gridCol w:w="68"/>
        <w:gridCol w:w="230"/>
        <w:gridCol w:w="303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2.</w:t>
            </w:r>
          </w:p>
        </w:tc>
        <w:tc>
          <w:tcPr>
            <w:tcW w:w="3035" w:type="dxa"/>
            <w:tcBorders/>
            <w:vAlign w:val="center"/>
          </w:tcPr>
          <w:p>
            <w:pPr>
              <w:pStyle w:val="TableContents"/>
              <w:bidi w:val="0"/>
              <w:spacing w:before="0" w:after="0"/>
              <w:jc w:val="both"/>
              <w:rPr/>
            </w:pPr>
            <w:r>
              <w:rPr/>
              <w:t>Financial Statement Schedules:</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Schedule II - Condensed financial information of the registrant</w:t>
      </w:r>
    </w:p>
    <w:p>
      <w:pPr>
        <w:pStyle w:val="TextBody"/>
        <w:bidi w:val="0"/>
        <w:spacing w:before="0" w:after="0"/>
        <w:jc w:val="both"/>
        <w:rPr>
          <w:rFonts w:ascii="Times New Roman" w:hAnsi="Times New Roman"/>
          <w:sz w:val="20"/>
        </w:rPr>
      </w:pPr>
      <w:r>
        <w:rPr>
          <w:rFonts w:ascii="Times New Roman" w:hAnsi="Times New Roman"/>
          <w:sz w:val="20"/>
        </w:rPr>
        <w:t>Schedule III - Supplementary insurance information of the registrant</w:t>
      </w:r>
    </w:p>
    <w:p>
      <w:pPr>
        <w:pStyle w:val="TextBody"/>
        <w:bidi w:val="0"/>
        <w:spacing w:before="0" w:after="0"/>
        <w:jc w:val="both"/>
        <w:rPr>
          <w:rFonts w:ascii="Times New Roman" w:hAnsi="Times New Roman"/>
          <w:sz w:val="20"/>
        </w:rPr>
      </w:pPr>
      <w:r>
        <w:rPr>
          <w:rFonts w:ascii="Times New Roman" w:hAnsi="Times New Roman"/>
          <w:sz w:val="20"/>
        </w:rPr>
        <w:t>Schedule IV - Reinsurance information for the registrant</w:t>
      </w:r>
    </w:p>
    <w:p>
      <w:pPr>
        <w:pStyle w:val="TextBody"/>
        <w:bidi w:val="0"/>
        <w:spacing w:before="0" w:after="0"/>
        <w:jc w:val="both"/>
        <w:rPr>
          <w:rFonts w:ascii="Times New Roman" w:hAnsi="Times New Roman"/>
          <w:sz w:val="20"/>
        </w:rPr>
      </w:pPr>
      <w:r>
        <w:rPr>
          <w:rFonts w:ascii="Times New Roman" w:hAnsi="Times New Roman"/>
          <w:sz w:val="20"/>
        </w:rPr>
        <w:t>Schedule VI - Supplemental information concerning property-casualty insurance operations of the registrant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Schedules other than those listed above are omitted as they are not required or are not applicable, or the required information is shown in the financial statements or notes thereto. Columns omitted from schedules filed have been omitted because the information is 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0" w:name="zee2402954dcb425e9b1dd2d18f711c11"/>
      <w:bookmarkStart w:id="371" w:name="zee2402954dcb425e9b1dd2d18f711c11"/>
      <w:bookmarkEnd w:id="371"/>
    </w:p>
    <w:tbl>
      <w:tblPr>
        <w:tblW w:w="1353" w:type="dxa"/>
        <w:jc w:val="left"/>
        <w:tblInd w:w="0" w:type="dxa"/>
        <w:tblLayout w:type="fixed"/>
        <w:tblCellMar>
          <w:top w:w="0" w:type="dxa"/>
          <w:left w:w="0" w:type="dxa"/>
          <w:bottom w:w="0" w:type="dxa"/>
          <w:right w:w="0" w:type="dxa"/>
        </w:tblCellMar>
      </w:tblPr>
      <w:tblGrid>
        <w:gridCol w:w="68"/>
        <w:gridCol w:w="230"/>
        <w:gridCol w:w="105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3.</w:t>
            </w:r>
          </w:p>
        </w:tc>
        <w:tc>
          <w:tcPr>
            <w:tcW w:w="1055" w:type="dxa"/>
            <w:tcBorders/>
            <w:vAlign w:val="center"/>
          </w:tcPr>
          <w:p>
            <w:pPr>
              <w:pStyle w:val="TableContents"/>
              <w:bidi w:val="0"/>
              <w:spacing w:before="0" w:after="0"/>
              <w:jc w:val="both"/>
              <w:rPr/>
            </w:pPr>
            <w:r>
              <w:rPr/>
              <w:t>Exhibits*:</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372" w:name="z16ffac02467946b2aaba2ef049cc67e5"/>
      <w:bookmarkStart w:id="373" w:name="z16ffac02467946b2aaba2ef049cc67e5"/>
      <w:bookmarkEnd w:id="373"/>
    </w:p>
    <w:tbl>
      <w:tblPr>
        <w:tblW w:w="10205" w:type="dxa"/>
        <w:jc w:val="left"/>
        <w:tblInd w:w="0" w:type="dxa"/>
        <w:tblLayout w:type="fixed"/>
        <w:tblCellMar>
          <w:top w:w="0" w:type="dxa"/>
          <w:left w:w="0" w:type="dxa"/>
          <w:bottom w:w="0" w:type="dxa"/>
          <w:right w:w="0" w:type="dxa"/>
        </w:tblCellMar>
      </w:tblPr>
      <w:tblGrid>
        <w:gridCol w:w="653"/>
        <w:gridCol w:w="9552"/>
      </w:tblGrid>
      <w:tr>
        <w:trPr/>
        <w:tc>
          <w:tcPr>
            <w:tcW w:w="653" w:type="dxa"/>
            <w:tcBorders/>
            <w:shd w:fill="CCEEFF" w:val="clear"/>
            <w:vAlign w:val="center"/>
          </w:tcPr>
          <w:p>
            <w:pPr>
              <w:pStyle w:val="TableContents"/>
              <w:bidi w:val="0"/>
              <w:spacing w:before="0" w:after="0"/>
              <w:jc w:val="left"/>
              <w:rPr/>
            </w:pPr>
            <w:hyperlink r:id="rId3">
              <w:r>
                <w:rPr>
                  <w:rStyle w:val="InternetLink"/>
                  <w:color w:val="000000"/>
                </w:rPr>
                <w:t>3.1</w:t>
              </w:r>
            </w:hyperlink>
          </w:p>
        </w:tc>
        <w:tc>
          <w:tcPr>
            <w:tcW w:w="9552" w:type="dxa"/>
            <w:tcBorders/>
            <w:shd w:fill="CCEEFF" w:val="clear"/>
            <w:vAlign w:val="center"/>
          </w:tcPr>
          <w:p>
            <w:pPr>
              <w:pStyle w:val="TableContents"/>
              <w:bidi w:val="0"/>
              <w:spacing w:before="0" w:after="0"/>
              <w:jc w:val="both"/>
              <w:rPr>
                <w:color w:val="000000"/>
              </w:rPr>
            </w:pPr>
            <w:r>
              <w:rPr>
                <w:color w:val="000000"/>
              </w:rPr>
              <w:t>Restated Articles of Incorporation of the registrant, as amended [incorporated by reference to Exhibit 3.1 to the registrant’s Form 10-K for the year ended December 31, 2008].</w:t>
            </w:r>
          </w:p>
        </w:tc>
      </w:tr>
      <w:tr>
        <w:trPr/>
        <w:tc>
          <w:tcPr>
            <w:tcW w:w="653" w:type="dxa"/>
            <w:tcBorders/>
            <w:vAlign w:val="center"/>
          </w:tcPr>
          <w:p>
            <w:pPr>
              <w:pStyle w:val="TableContents"/>
              <w:bidi w:val="0"/>
              <w:spacing w:before="0" w:after="0"/>
              <w:jc w:val="left"/>
              <w:rPr/>
            </w:pPr>
            <w:hyperlink r:id="rId4">
              <w:r>
                <w:rPr>
                  <w:rStyle w:val="InternetLink"/>
                  <w:color w:val="000000"/>
                </w:rPr>
                <w:t>3.2</w:t>
              </w:r>
            </w:hyperlink>
          </w:p>
        </w:tc>
        <w:tc>
          <w:tcPr>
            <w:tcW w:w="9552" w:type="dxa"/>
            <w:tcBorders/>
            <w:vAlign w:val="center"/>
          </w:tcPr>
          <w:p>
            <w:pPr>
              <w:pStyle w:val="TableContents"/>
              <w:bidi w:val="0"/>
              <w:spacing w:before="0" w:after="0"/>
              <w:jc w:val="both"/>
              <w:rPr>
                <w:color w:val="000000"/>
              </w:rPr>
            </w:pPr>
            <w:r>
              <w:rPr>
                <w:color w:val="000000"/>
              </w:rPr>
              <w:t>Restated Bylaws of the registrant, as amended [incorporated by reference to Exhibit 3.1 to the registrant’s Form 8-K filed on March 4, 2016].</w:t>
            </w:r>
          </w:p>
        </w:tc>
      </w:tr>
      <w:tr>
        <w:trPr/>
        <w:tc>
          <w:tcPr>
            <w:tcW w:w="653" w:type="dxa"/>
            <w:tcBorders/>
            <w:shd w:fill="CCEEFF" w:val="clear"/>
            <w:vAlign w:val="center"/>
          </w:tcPr>
          <w:p>
            <w:pPr>
              <w:pStyle w:val="TableContents"/>
              <w:bidi w:val="0"/>
              <w:spacing w:before="0" w:after="0"/>
              <w:jc w:val="left"/>
              <w:rPr/>
            </w:pPr>
            <w:hyperlink r:id="rId5">
              <w:r>
                <w:rPr>
                  <w:rStyle w:val="InternetLink"/>
                  <w:color w:val="000000"/>
                </w:rPr>
                <w:t>4.1</w:t>
              </w:r>
            </w:hyperlink>
          </w:p>
        </w:tc>
        <w:tc>
          <w:tcPr>
            <w:tcW w:w="9552" w:type="dxa"/>
            <w:tcBorders/>
            <w:shd w:fill="CCEEFF" w:val="clear"/>
            <w:vAlign w:val="center"/>
          </w:tcPr>
          <w:p>
            <w:pPr>
              <w:pStyle w:val="TableContents"/>
              <w:bidi w:val="0"/>
              <w:spacing w:before="0" w:after="0"/>
              <w:jc w:val="both"/>
              <w:rPr>
                <w:color w:val="000000"/>
              </w:rPr>
            </w:pPr>
            <w:r>
              <w:rPr>
                <w:color w:val="000000"/>
              </w:rPr>
              <w:t>Description of the registrant’s common stock registered pursuant to section 12 of the Securities Exchange Act of 1934 [incorporated by reference to Exhibit 4.1 to the registrant’s Form 10-K filed on March 24, 2020].</w:t>
            </w:r>
          </w:p>
        </w:tc>
      </w:tr>
      <w:tr>
        <w:trPr/>
        <w:tc>
          <w:tcPr>
            <w:tcW w:w="653" w:type="dxa"/>
            <w:tcBorders/>
            <w:vAlign w:val="center"/>
          </w:tcPr>
          <w:p>
            <w:pPr>
              <w:pStyle w:val="TableContents"/>
              <w:bidi w:val="0"/>
              <w:spacing w:before="0" w:after="0"/>
              <w:jc w:val="left"/>
              <w:rPr>
                <w:color w:val="000000"/>
              </w:rPr>
            </w:pPr>
            <w:r>
              <w:rPr>
                <w:color w:val="000000"/>
              </w:rPr>
              <w:t>10.01</w:t>
            </w:r>
          </w:p>
        </w:tc>
        <w:tc>
          <w:tcPr>
            <w:tcW w:w="9552" w:type="dxa"/>
            <w:tcBorders/>
            <w:vAlign w:val="center"/>
          </w:tcPr>
          <w:p>
            <w:pPr>
              <w:pStyle w:val="TableContents"/>
              <w:bidi w:val="0"/>
              <w:spacing w:before="0" w:after="0"/>
              <w:jc w:val="both"/>
              <w:rPr>
                <w:color w:val="000000"/>
              </w:rPr>
            </w:pPr>
            <w:r>
              <w:rPr>
                <w:color w:val="000000"/>
              </w:rPr>
              <w:t>Management Agreement, dated July 1, 1993, between the registrant and Atlantic American Life Insurance Company and Bankers Fidelity Life Insurance Company [incorporated by reference to Exhibit 10.41 to the registrant’s Form 10-Q for the quarter ended September 30, 1993].</w:t>
            </w:r>
          </w:p>
        </w:tc>
      </w:tr>
      <w:tr>
        <w:trPr/>
        <w:tc>
          <w:tcPr>
            <w:tcW w:w="653" w:type="dxa"/>
            <w:tcBorders/>
            <w:shd w:fill="CCEEFF" w:val="clear"/>
            <w:vAlign w:val="center"/>
          </w:tcPr>
          <w:p>
            <w:pPr>
              <w:pStyle w:val="TableContents"/>
              <w:bidi w:val="0"/>
              <w:spacing w:before="0" w:after="0"/>
              <w:jc w:val="left"/>
              <w:rPr/>
            </w:pPr>
            <w:hyperlink r:id="rId6">
              <w:r>
                <w:rPr>
                  <w:rStyle w:val="InternetLink"/>
                  <w:color w:val="000000"/>
                </w:rPr>
                <w:t>10.02</w:t>
              </w:r>
            </w:hyperlink>
          </w:p>
        </w:tc>
        <w:tc>
          <w:tcPr>
            <w:tcW w:w="9552" w:type="dxa"/>
            <w:tcBorders/>
            <w:shd w:fill="CCEEFF" w:val="clear"/>
            <w:vAlign w:val="center"/>
          </w:tcPr>
          <w:p>
            <w:pPr>
              <w:pStyle w:val="TableContents"/>
              <w:bidi w:val="0"/>
              <w:spacing w:before="0" w:after="0"/>
              <w:jc w:val="both"/>
              <w:rPr>
                <w:color w:val="000000"/>
              </w:rPr>
            </w:pPr>
            <w:r>
              <w:rPr>
                <w:color w:val="000000"/>
              </w:rPr>
              <w:t>Tax Allocation Agreement, dated as of January 4, 2016, between the registrant and the registrant’s subsidiaries [incorporated by reference to Exhibit 10.02 to the registrant’s Form 10-K for the year ended December 31, 2017].</w:t>
            </w:r>
          </w:p>
        </w:tc>
      </w:tr>
      <w:tr>
        <w:trPr/>
        <w:tc>
          <w:tcPr>
            <w:tcW w:w="653" w:type="dxa"/>
            <w:tcBorders/>
            <w:vAlign w:val="center"/>
          </w:tcPr>
          <w:p>
            <w:pPr>
              <w:pStyle w:val="TableContents"/>
              <w:bidi w:val="0"/>
              <w:spacing w:before="0" w:after="0"/>
              <w:jc w:val="left"/>
              <w:rPr/>
            </w:pPr>
            <w:hyperlink r:id="rId7">
              <w:r>
                <w:rPr>
                  <w:rStyle w:val="InternetLink"/>
                  <w:color w:val="000000"/>
                </w:rPr>
                <w:t>10.03**</w:t>
              </w:r>
            </w:hyperlink>
          </w:p>
        </w:tc>
        <w:tc>
          <w:tcPr>
            <w:tcW w:w="9552" w:type="dxa"/>
            <w:tcBorders/>
            <w:vAlign w:val="center"/>
          </w:tcPr>
          <w:p>
            <w:pPr>
              <w:pStyle w:val="TableContents"/>
              <w:bidi w:val="0"/>
              <w:spacing w:before="0" w:after="0"/>
              <w:jc w:val="both"/>
              <w:rPr>
                <w:color w:val="000000"/>
              </w:rPr>
            </w:pPr>
            <w:r>
              <w:rPr>
                <w:color w:val="000000"/>
              </w:rPr>
              <w:t>Atlantic American Corporation 2012 Nonqualified Stock Purchase Plan [incorporated by reference to Exhibit 99.1 to the registrant’s Form S-8 (File No. 333-183207) filed on August 10, 2012].</w:t>
            </w:r>
          </w:p>
        </w:tc>
      </w:tr>
      <w:tr>
        <w:trPr/>
        <w:tc>
          <w:tcPr>
            <w:tcW w:w="653" w:type="dxa"/>
            <w:tcBorders/>
            <w:shd w:fill="CCEEFF" w:val="clear"/>
            <w:vAlign w:val="center"/>
          </w:tcPr>
          <w:p>
            <w:pPr>
              <w:pStyle w:val="TableContents"/>
              <w:bidi w:val="0"/>
              <w:spacing w:before="0" w:after="0"/>
              <w:jc w:val="left"/>
              <w:rPr/>
            </w:pPr>
            <w:hyperlink r:id="rId8">
              <w:r>
                <w:rPr>
                  <w:rStyle w:val="InternetLink"/>
                  <w:color w:val="000000"/>
                </w:rPr>
                <w:t>10.04**</w:t>
              </w:r>
            </w:hyperlink>
          </w:p>
        </w:tc>
        <w:tc>
          <w:tcPr>
            <w:tcW w:w="9552" w:type="dxa"/>
            <w:tcBorders/>
            <w:shd w:fill="CCEEFF" w:val="clear"/>
            <w:vAlign w:val="center"/>
          </w:tcPr>
          <w:p>
            <w:pPr>
              <w:pStyle w:val="TableContents"/>
              <w:bidi w:val="0"/>
              <w:spacing w:before="0" w:after="0"/>
              <w:jc w:val="both"/>
              <w:rPr>
                <w:color w:val="000000"/>
              </w:rPr>
            </w:pPr>
            <w:r>
              <w:rPr>
                <w:color w:val="000000"/>
              </w:rPr>
              <w:t>Atlantic American Corporation 2012 Equity Incentive Plan [incorporated by reference to Exhibit 10.1 to the registrant’s Form 10-Q for the quarter ended March 31, 2013].</w:t>
            </w:r>
          </w:p>
        </w:tc>
      </w:tr>
      <w:tr>
        <w:trPr/>
        <w:tc>
          <w:tcPr>
            <w:tcW w:w="653" w:type="dxa"/>
            <w:tcBorders/>
            <w:vAlign w:val="center"/>
          </w:tcPr>
          <w:p>
            <w:pPr>
              <w:pStyle w:val="TableContents"/>
              <w:bidi w:val="0"/>
              <w:spacing w:before="0" w:after="0"/>
              <w:jc w:val="left"/>
              <w:rPr/>
            </w:pPr>
            <w:hyperlink r:id="rId9">
              <w:r>
                <w:rPr>
                  <w:rStyle w:val="InternetLink"/>
                  <w:color w:val="000000"/>
                </w:rPr>
                <w:t>10.05</w:t>
              </w:r>
            </w:hyperlink>
          </w:p>
        </w:tc>
        <w:tc>
          <w:tcPr>
            <w:tcW w:w="9552" w:type="dxa"/>
            <w:tcBorders/>
            <w:vAlign w:val="center"/>
          </w:tcPr>
          <w:p>
            <w:pPr>
              <w:pStyle w:val="TableContents"/>
              <w:bidi w:val="0"/>
              <w:spacing w:before="0" w:after="0"/>
              <w:jc w:val="both"/>
              <w:rPr>
                <w:color w:val="000000"/>
              </w:rPr>
            </w:pPr>
            <w:r>
              <w:rPr>
                <w:color w:val="000000"/>
              </w:rPr>
              <w:t>Lease Agreement, dated as of November 1, 2007, between Georgia Casualty &amp; Surety Company, Bankers Fidelity Life Insurance Company, Atlantic American Corporation and Delta Life Insurance Company [incorporated by reference to Exhibit 10.10 to the registrant’s Form 10-K for the year ended December 31, 2007].</w:t>
            </w:r>
          </w:p>
        </w:tc>
      </w:tr>
      <w:tr>
        <w:trPr/>
        <w:tc>
          <w:tcPr>
            <w:tcW w:w="653" w:type="dxa"/>
            <w:tcBorders/>
            <w:shd w:fill="CCEEFF" w:val="clear"/>
            <w:vAlign w:val="center"/>
          </w:tcPr>
          <w:p>
            <w:pPr>
              <w:pStyle w:val="TableContents"/>
              <w:bidi w:val="0"/>
              <w:spacing w:before="0" w:after="0"/>
              <w:jc w:val="left"/>
              <w:rPr/>
            </w:pPr>
            <w:hyperlink r:id="rId10">
              <w:r>
                <w:rPr>
                  <w:rStyle w:val="InternetLink"/>
                  <w:color w:val="000000"/>
                </w:rPr>
                <w:t>10.06</w:t>
              </w:r>
            </w:hyperlink>
          </w:p>
        </w:tc>
        <w:tc>
          <w:tcPr>
            <w:tcW w:w="9552" w:type="dxa"/>
            <w:tcBorders/>
            <w:shd w:fill="CCEEFF" w:val="clear"/>
            <w:vAlign w:val="center"/>
          </w:tcPr>
          <w:p>
            <w:pPr>
              <w:pStyle w:val="TableContents"/>
              <w:bidi w:val="0"/>
              <w:spacing w:before="0" w:after="0"/>
              <w:jc w:val="both"/>
              <w:rPr>
                <w:color w:val="000000"/>
              </w:rPr>
            </w:pPr>
            <w:r>
              <w:rPr>
                <w:color w:val="000000"/>
              </w:rPr>
              <w:t>First Amendment to Lease Agreement, dated as of March 31, 2008, between Georgia Casualty &amp; Surety Company, Bankers Fidelity Life Insurance Company, Atlantic American Corporation and Delta Life Insurance Company [incorporated by reference to Exhibit 10.2 to the registrant’s Form 10-Q for the quarter ended March 31, 2008].</w:t>
            </w:r>
          </w:p>
        </w:tc>
      </w:tr>
      <w:tr>
        <w:trPr/>
        <w:tc>
          <w:tcPr>
            <w:tcW w:w="653" w:type="dxa"/>
            <w:tcBorders/>
            <w:vAlign w:val="center"/>
          </w:tcPr>
          <w:p>
            <w:pPr>
              <w:pStyle w:val="TableContents"/>
              <w:bidi w:val="0"/>
              <w:spacing w:before="0" w:after="0"/>
              <w:jc w:val="left"/>
              <w:rPr/>
            </w:pPr>
            <w:hyperlink r:id="rId11">
              <w:r>
                <w:rPr>
                  <w:rStyle w:val="InternetLink"/>
                  <w:color w:val="000000"/>
                </w:rPr>
                <w:t>10.07</w:t>
              </w:r>
            </w:hyperlink>
          </w:p>
        </w:tc>
        <w:tc>
          <w:tcPr>
            <w:tcW w:w="9552" w:type="dxa"/>
            <w:tcBorders/>
            <w:vAlign w:val="center"/>
          </w:tcPr>
          <w:p>
            <w:pPr>
              <w:pStyle w:val="TableContents"/>
              <w:bidi w:val="0"/>
              <w:spacing w:before="0" w:after="0"/>
              <w:jc w:val="both"/>
              <w:rPr>
                <w:color w:val="000000"/>
              </w:rPr>
            </w:pPr>
            <w:r>
              <w:rPr>
                <w:color w:val="000000"/>
              </w:rPr>
              <w:t>Assignment and Assumption of Leases and Contracts, dated as of December 21, 2022, by and between Delta Life Insurance Company and 4370 Peachtree LLC [incorporated by reference to Exhibit 10.07 to the registrant’s Form 10-K filed on June 30, 2023].</w:t>
            </w:r>
          </w:p>
        </w:tc>
      </w:tr>
      <w:tr>
        <w:trPr/>
        <w:tc>
          <w:tcPr>
            <w:tcW w:w="653" w:type="dxa"/>
            <w:tcBorders/>
            <w:shd w:fill="CCEEFF" w:val="clear"/>
            <w:vAlign w:val="center"/>
          </w:tcPr>
          <w:p>
            <w:pPr>
              <w:pStyle w:val="TableContents"/>
              <w:bidi w:val="0"/>
              <w:spacing w:before="0" w:after="0"/>
              <w:jc w:val="left"/>
              <w:rPr/>
            </w:pPr>
            <w:hyperlink r:id="rId12">
              <w:r>
                <w:rPr>
                  <w:rStyle w:val="InternetLink"/>
                  <w:color w:val="000000"/>
                </w:rPr>
                <w:t>10.09</w:t>
              </w:r>
            </w:hyperlink>
          </w:p>
        </w:tc>
        <w:tc>
          <w:tcPr>
            <w:tcW w:w="9552" w:type="dxa"/>
            <w:tcBorders/>
            <w:shd w:fill="CCEEFF" w:val="clear"/>
            <w:vAlign w:val="center"/>
          </w:tcPr>
          <w:p>
            <w:pPr>
              <w:pStyle w:val="TableContents"/>
              <w:bidi w:val="0"/>
              <w:spacing w:before="0" w:after="0"/>
              <w:jc w:val="both"/>
              <w:rPr>
                <w:color w:val="000000"/>
              </w:rPr>
            </w:pPr>
            <w:r>
              <w:rPr>
                <w:color w:val="000000"/>
              </w:rPr>
              <w:t>Revolving Credit Agreement, dated as of May 12, 2021, as amended by that certain First Amendment to Revolving Credit Agreement, dated as of March 22, 2024, by and between Atlantic American Corporation and Truist Bank [incorporated by reference to Exhibit 10.1 to the registrant’s Form 8-K filed with the SEC on May 13, 2021].</w:t>
            </w:r>
          </w:p>
        </w:tc>
      </w:tr>
      <w:tr>
        <w:trPr/>
        <w:tc>
          <w:tcPr>
            <w:tcW w:w="653" w:type="dxa"/>
            <w:tcBorders/>
            <w:vAlign w:val="center"/>
          </w:tcPr>
          <w:p>
            <w:pPr>
              <w:pStyle w:val="TableContents"/>
              <w:bidi w:val="0"/>
              <w:spacing w:before="0" w:after="0"/>
              <w:jc w:val="left"/>
              <w:rPr/>
            </w:pPr>
            <w:hyperlink r:id="rId13">
              <w:r>
                <w:rPr>
                  <w:rStyle w:val="InternetLink"/>
                  <w:color w:val="000000"/>
                </w:rPr>
                <w:t>10.10**</w:t>
              </w:r>
            </w:hyperlink>
          </w:p>
        </w:tc>
        <w:tc>
          <w:tcPr>
            <w:tcW w:w="9552" w:type="dxa"/>
            <w:tcBorders/>
            <w:vAlign w:val="center"/>
          </w:tcPr>
          <w:p>
            <w:pPr>
              <w:pStyle w:val="TableContents"/>
              <w:bidi w:val="0"/>
              <w:spacing w:before="0" w:after="0"/>
              <w:jc w:val="both"/>
              <w:rPr>
                <w:color w:val="000000"/>
              </w:rPr>
            </w:pPr>
            <w:r>
              <w:rPr>
                <w:color w:val="000000"/>
              </w:rPr>
              <w:t>Atlantic American Corporation 2022 Equity and Incentive Compensation Plan [incorporated by reference to Exhibit 10.1 to the registrant’s Form 8-K filed on May 31, 2022].</w:t>
            </w:r>
          </w:p>
        </w:tc>
      </w:tr>
      <w:tr>
        <w:trPr/>
        <w:tc>
          <w:tcPr>
            <w:tcW w:w="653" w:type="dxa"/>
            <w:tcBorders/>
            <w:shd w:fill="CCEEFF" w:val="clear"/>
            <w:vAlign w:val="center"/>
          </w:tcPr>
          <w:p>
            <w:pPr>
              <w:pStyle w:val="TableContents"/>
              <w:bidi w:val="0"/>
              <w:spacing w:before="0" w:after="0"/>
              <w:jc w:val="left"/>
              <w:rPr/>
            </w:pPr>
            <w:hyperlink r:id="rId14">
              <w:r>
                <w:rPr>
                  <w:rStyle w:val="InternetLink"/>
                  <w:color w:val="000000"/>
                </w:rPr>
                <w:t>10.11</w:t>
              </w:r>
            </w:hyperlink>
          </w:p>
          <w:p>
            <w:pPr>
              <w:pStyle w:val="TableContents"/>
              <w:bidi w:val="0"/>
              <w:spacing w:before="0" w:after="0"/>
              <w:jc w:val="left"/>
              <w:rPr>
                <w:color w:val="000000"/>
              </w:rPr>
            </w:pPr>
            <w:r>
              <w:rPr>
                <w:color w:val="000000"/>
              </w:rPr>
              <w:t> </w:t>
            </w:r>
          </w:p>
          <w:p>
            <w:pPr>
              <w:pStyle w:val="TableContents"/>
              <w:bidi w:val="0"/>
              <w:spacing w:before="0" w:after="0"/>
              <w:jc w:val="left"/>
              <w:rPr>
                <w:color w:val="000000"/>
              </w:rPr>
            </w:pPr>
            <w:r>
              <w:rPr>
                <w:color w:val="000000"/>
              </w:rPr>
              <w:t> </w:t>
            </w:r>
          </w:p>
        </w:tc>
        <w:tc>
          <w:tcPr>
            <w:tcW w:w="9552" w:type="dxa"/>
            <w:tcBorders/>
            <w:shd w:fill="CCEEFF" w:val="clear"/>
            <w:vAlign w:val="center"/>
          </w:tcPr>
          <w:p>
            <w:pPr>
              <w:pStyle w:val="TableContents"/>
              <w:bidi w:val="0"/>
              <w:spacing w:before="0" w:after="0"/>
              <w:jc w:val="both"/>
              <w:rPr>
                <w:color w:val="000000"/>
              </w:rPr>
            </w:pPr>
            <w:r>
              <w:rPr>
                <w:color w:val="000000"/>
              </w:rPr>
              <w:t>Second Amendment to Lease Agreement, dated as of December 26, 2024, by and among 4370 Peachtree LLC, Atlantic American Corporation and Bankers Fidelity Life Insurance Company [incorporated by reference to Exhibit 10.1 to the registrant’s Form 8-K filed with the SEC on December 30, 2024].</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374" w:name="z2eb63b8c1c6d4ac5879d44ce8a2996aa"/>
      <w:bookmarkStart w:id="375" w:name="z2eb63b8c1c6d4ac5879d44ce8a2996aa"/>
      <w:bookmarkEnd w:id="375"/>
    </w:p>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shd w:fill="CCEEFF" w:val="clear"/>
            <w:vAlign w:val="center"/>
          </w:tcPr>
          <w:p>
            <w:pPr>
              <w:pStyle w:val="TableContents"/>
              <w:bidi w:val="0"/>
              <w:spacing w:before="0" w:after="0"/>
              <w:jc w:val="left"/>
              <w:rPr/>
            </w:pPr>
            <w:hyperlink r:id="rId15">
              <w:r>
                <w:rPr>
                  <w:rStyle w:val="InternetLink"/>
                </w:rPr>
                <w:t>10.12</w:t>
              </w:r>
            </w:hyperlink>
          </w:p>
        </w:tc>
        <w:tc>
          <w:tcPr>
            <w:tcW w:w="9615" w:type="dxa"/>
            <w:tcBorders/>
            <w:shd w:fill="CCEEFF" w:val="clear"/>
            <w:vAlign w:val="center"/>
          </w:tcPr>
          <w:p>
            <w:pPr>
              <w:pStyle w:val="TableContents"/>
              <w:bidi w:val="0"/>
              <w:spacing w:before="0" w:after="0"/>
              <w:ind w:left="0" w:right="0" w:hanging="0"/>
              <w:jc w:val="both"/>
              <w:rPr>
                <w:sz w:val="20"/>
              </w:rPr>
            </w:pPr>
            <w:r>
              <w:rPr>
                <w:sz w:val="20"/>
              </w:rPr>
              <w:t>Second Amendment to Revolving Credit Agreement, dated as of May 27, 2026, by and between Atlantic American Corporation and Truist Bank [incorporated by reference to Exhibit 10.1 to the registrant’s Form 8-K filed on June 2, 2026].</w:t>
            </w:r>
          </w:p>
        </w:tc>
      </w:tr>
      <w:tr>
        <w:trPr/>
        <w:tc>
          <w:tcPr>
            <w:tcW w:w="590" w:type="dxa"/>
            <w:tcBorders/>
            <w:vAlign w:val="center"/>
          </w:tcPr>
          <w:p>
            <w:pPr>
              <w:pStyle w:val="TableContents"/>
              <w:bidi w:val="0"/>
              <w:spacing w:before="0" w:after="0"/>
              <w:jc w:val="left"/>
              <w:rPr/>
            </w:pPr>
            <w:hyperlink r:id="rId16">
              <w:r>
                <w:rPr>
                  <w:rStyle w:val="InternetLink"/>
                </w:rPr>
                <w:t>10.13</w:t>
              </w:r>
            </w:hyperlink>
          </w:p>
        </w:tc>
        <w:tc>
          <w:tcPr>
            <w:tcW w:w="9615" w:type="dxa"/>
            <w:tcBorders/>
            <w:vAlign w:val="center"/>
          </w:tcPr>
          <w:p>
            <w:pPr>
              <w:pStyle w:val="TableContents"/>
              <w:bidi w:val="0"/>
              <w:spacing w:before="0" w:after="283"/>
              <w:jc w:val="both"/>
              <w:rPr/>
            </w:pPr>
            <w:r>
              <w:rPr/>
              <w:t>Third Amendment to Revolving Credit Agreement, dated as of July 31, 2026, by and between Atlantic American Corporation and Truist Bank [incorporated by reference to Exhibit 10.1 to the registrant's Form 8-K filed on August 5, 2026].</w:t>
            </w:r>
          </w:p>
        </w:tc>
      </w:tr>
      <w:tr>
        <w:trPr/>
        <w:tc>
          <w:tcPr>
            <w:tcW w:w="590" w:type="dxa"/>
            <w:tcBorders/>
            <w:shd w:fill="CCEEFF" w:val="clear"/>
            <w:vAlign w:val="center"/>
          </w:tcPr>
          <w:p>
            <w:pPr>
              <w:pStyle w:val="TableContents"/>
              <w:bidi w:val="0"/>
              <w:spacing w:before="0" w:after="0"/>
              <w:jc w:val="left"/>
              <w:rPr/>
            </w:pPr>
            <w:hyperlink r:id="rId17">
              <w:r>
                <w:rPr>
                  <w:rStyle w:val="InternetLink"/>
                </w:rPr>
                <w:t>14.1</w:t>
              </w:r>
            </w:hyperlink>
          </w:p>
        </w:tc>
        <w:tc>
          <w:tcPr>
            <w:tcW w:w="9615" w:type="dxa"/>
            <w:tcBorders/>
            <w:shd w:fill="CCEEFF" w:val="clear"/>
            <w:vAlign w:val="center"/>
          </w:tcPr>
          <w:p>
            <w:pPr>
              <w:pStyle w:val="TableContents"/>
              <w:bidi w:val="0"/>
              <w:spacing w:before="0" w:after="283"/>
              <w:jc w:val="both"/>
              <w:rPr/>
            </w:pPr>
            <w:r>
              <w:rPr/>
              <w:t>Code of Business Conduct and Ethics [incorporated by reference to Exhibit 14.1 to the registrant’s Form 10-K for the year ended December 31, 2003].</w:t>
            </w:r>
          </w:p>
        </w:tc>
      </w:tr>
      <w:tr>
        <w:trPr/>
        <w:tc>
          <w:tcPr>
            <w:tcW w:w="590" w:type="dxa"/>
            <w:tcBorders/>
            <w:vAlign w:val="center"/>
          </w:tcPr>
          <w:p>
            <w:pPr>
              <w:pStyle w:val="TableContents"/>
              <w:bidi w:val="0"/>
              <w:spacing w:before="0" w:after="0"/>
              <w:jc w:val="left"/>
              <w:rPr/>
            </w:pPr>
            <w:hyperlink r:id="rId18">
              <w:r>
                <w:rPr>
                  <w:rStyle w:val="InternetLink"/>
                </w:rPr>
                <w:t>19.1</w:t>
              </w:r>
            </w:hyperlink>
          </w:p>
        </w:tc>
        <w:tc>
          <w:tcPr>
            <w:tcW w:w="9615" w:type="dxa"/>
            <w:tcBorders/>
            <w:vAlign w:val="center"/>
          </w:tcPr>
          <w:p>
            <w:pPr>
              <w:pStyle w:val="TableContents"/>
              <w:bidi w:val="0"/>
              <w:spacing w:before="0" w:after="0"/>
              <w:jc w:val="left"/>
              <w:rPr/>
            </w:pPr>
            <w:r>
              <w:rPr/>
              <w:t>Atlantic American Corporation Insider Trading Policy [incorporated by reference to Exhibit 19.1 to the registrant’s Form 10-K for the year ended December 31, 2024].</w:t>
            </w:r>
          </w:p>
        </w:tc>
      </w:tr>
      <w:tr>
        <w:trPr/>
        <w:tc>
          <w:tcPr>
            <w:tcW w:w="590" w:type="dxa"/>
            <w:tcBorders/>
            <w:shd w:fill="CCEEFF" w:val="clear"/>
            <w:vAlign w:val="center"/>
          </w:tcPr>
          <w:p>
            <w:pPr>
              <w:pStyle w:val="TableContents"/>
              <w:bidi w:val="0"/>
              <w:spacing w:before="0" w:after="0"/>
              <w:jc w:val="left"/>
              <w:rPr/>
            </w:pPr>
            <w:hyperlink w:anchor="ef20083985_ex21-1.htm">
              <w:r>
                <w:rPr>
                  <w:rStyle w:val="InternetLink"/>
                </w:rPr>
                <w:t>21.1</w:t>
              </w:r>
            </w:hyperlink>
          </w:p>
        </w:tc>
        <w:tc>
          <w:tcPr>
            <w:tcW w:w="9615" w:type="dxa"/>
            <w:tcBorders/>
            <w:shd w:fill="CCEEFF" w:val="clear"/>
            <w:vAlign w:val="center"/>
          </w:tcPr>
          <w:p>
            <w:pPr>
              <w:pStyle w:val="TableContents"/>
              <w:bidi w:val="0"/>
              <w:spacing w:before="0" w:after="283"/>
              <w:jc w:val="both"/>
              <w:rPr/>
            </w:pPr>
            <w:r>
              <w:rPr/>
              <w:t>Subsidiaries of the registrant.</w:t>
            </w:r>
          </w:p>
        </w:tc>
      </w:tr>
      <w:tr>
        <w:trPr/>
        <w:tc>
          <w:tcPr>
            <w:tcW w:w="590" w:type="dxa"/>
            <w:tcBorders/>
            <w:vAlign w:val="center"/>
          </w:tcPr>
          <w:p>
            <w:pPr>
              <w:pStyle w:val="TableContents"/>
              <w:bidi w:val="0"/>
              <w:spacing w:before="0" w:after="0"/>
              <w:jc w:val="left"/>
              <w:rPr/>
            </w:pPr>
            <w:hyperlink w:anchor="ef20083985_ex23-1.htm">
              <w:r>
                <w:rPr>
                  <w:rStyle w:val="InternetLink"/>
                </w:rPr>
                <w:t>23.1</w:t>
              </w:r>
            </w:hyperlink>
          </w:p>
        </w:tc>
        <w:tc>
          <w:tcPr>
            <w:tcW w:w="9615" w:type="dxa"/>
            <w:tcBorders/>
            <w:vAlign w:val="center"/>
          </w:tcPr>
          <w:p>
            <w:pPr>
              <w:pStyle w:val="TableContents"/>
              <w:bidi w:val="0"/>
              <w:spacing w:before="0" w:after="283"/>
              <w:jc w:val="both"/>
              <w:rPr/>
            </w:pPr>
            <w:r>
              <w:rPr/>
              <w:t>Consent of Forvis Mazars, LLP, Independent Registered Public Accounting Firm.</w:t>
            </w:r>
          </w:p>
        </w:tc>
      </w:tr>
      <w:tr>
        <w:trPr/>
        <w:tc>
          <w:tcPr>
            <w:tcW w:w="590" w:type="dxa"/>
            <w:tcBorders/>
            <w:shd w:fill="CCEEFF" w:val="clear"/>
            <w:vAlign w:val="center"/>
          </w:tcPr>
          <w:p>
            <w:pPr>
              <w:pStyle w:val="TableContents"/>
              <w:bidi w:val="0"/>
              <w:spacing w:before="0" w:after="0"/>
              <w:jc w:val="left"/>
              <w:rPr/>
            </w:pPr>
            <w:hyperlink w:anchor="ef20083985_ex31-1.htm">
              <w:r>
                <w:rPr>
                  <w:rStyle w:val="InternetLink"/>
                </w:rPr>
                <w:t>31.1</w:t>
              </w:r>
            </w:hyperlink>
          </w:p>
        </w:tc>
        <w:tc>
          <w:tcPr>
            <w:tcW w:w="9615" w:type="dxa"/>
            <w:tcBorders/>
            <w:shd w:fill="CCEEFF" w:val="clear"/>
            <w:vAlign w:val="center"/>
          </w:tcPr>
          <w:p>
            <w:pPr>
              <w:pStyle w:val="TableContents"/>
              <w:bidi w:val="0"/>
              <w:spacing w:before="0" w:after="283"/>
              <w:jc w:val="both"/>
              <w:rPr/>
            </w:pPr>
            <w:r>
              <w:rPr/>
              <w:t>Certification of the Principal Executive Officer pursuant to Section 302 of the Sarbanes-Oxley Act of 2002.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6" w:name="z096fc0bf2aa94eff831b862905dc9b87"/>
      <w:bookmarkStart w:id="377" w:name="z096fc0bf2aa94eff831b862905dc9b87"/>
      <w:bookmarkEnd w:id="377"/>
    </w:p>
    <w:tbl>
      <w:tblPr>
        <w:tblW w:w="10205" w:type="dxa"/>
        <w:jc w:val="left"/>
        <w:tblInd w:w="0" w:type="dxa"/>
        <w:tblLayout w:type="fixed"/>
        <w:tblCellMar>
          <w:top w:w="0" w:type="dxa"/>
          <w:left w:w="0" w:type="dxa"/>
          <w:bottom w:w="0" w:type="dxa"/>
          <w:right w:w="0" w:type="dxa"/>
        </w:tblCellMar>
      </w:tblPr>
      <w:tblGrid>
        <w:gridCol w:w="757"/>
        <w:gridCol w:w="9448"/>
      </w:tblGrid>
      <w:tr>
        <w:trPr/>
        <w:tc>
          <w:tcPr>
            <w:tcW w:w="757" w:type="dxa"/>
            <w:tcBorders/>
            <w:shd w:fill="CCEEFF" w:val="clear"/>
            <w:vAlign w:val="center"/>
          </w:tcPr>
          <w:p>
            <w:pPr>
              <w:pStyle w:val="TableContents"/>
              <w:bidi w:val="0"/>
              <w:spacing w:before="0" w:after="0"/>
              <w:jc w:val="left"/>
              <w:rPr/>
            </w:pPr>
            <w:hyperlink w:anchor="ef20083985_ex31-2.htm">
              <w:r>
                <w:rPr>
                  <w:rStyle w:val="InternetLink"/>
                </w:rPr>
                <w:t>31.2</w:t>
              </w:r>
            </w:hyperlink>
          </w:p>
        </w:tc>
        <w:tc>
          <w:tcPr>
            <w:tcW w:w="9448" w:type="dxa"/>
            <w:tcBorders/>
            <w:shd w:fill="CCEEFF" w:val="clear"/>
            <w:vAlign w:val="center"/>
          </w:tcPr>
          <w:p>
            <w:pPr>
              <w:pStyle w:val="TableContents"/>
              <w:bidi w:val="0"/>
              <w:spacing w:before="0" w:after="0"/>
              <w:jc w:val="left"/>
              <w:rPr/>
            </w:pPr>
            <w:r>
              <w:rPr/>
              <w:t>Certification of the Principal Financial Officer pursuant to Section 302 of the Sarbanes-Oxley Act of 2002.</w:t>
            </w:r>
          </w:p>
        </w:tc>
      </w:tr>
      <w:tr>
        <w:trPr/>
        <w:tc>
          <w:tcPr>
            <w:tcW w:w="757" w:type="dxa"/>
            <w:tcBorders/>
            <w:vAlign w:val="center"/>
          </w:tcPr>
          <w:p>
            <w:pPr>
              <w:pStyle w:val="TableContents"/>
              <w:bidi w:val="0"/>
              <w:spacing w:before="0" w:after="0"/>
              <w:jc w:val="left"/>
              <w:rPr/>
            </w:pPr>
            <w:hyperlink w:anchor="ef20083985_ex32-1.htm">
              <w:r>
                <w:rPr>
                  <w:rStyle w:val="InternetLink"/>
                </w:rPr>
                <w:t>32.1</w:t>
              </w:r>
            </w:hyperlink>
          </w:p>
        </w:tc>
        <w:tc>
          <w:tcPr>
            <w:tcW w:w="9448" w:type="dxa"/>
            <w:tcBorders/>
            <w:vAlign w:val="center"/>
          </w:tcPr>
          <w:p>
            <w:pPr>
              <w:pStyle w:val="TableContents"/>
              <w:bidi w:val="0"/>
              <w:spacing w:before="0" w:after="0"/>
              <w:jc w:val="left"/>
              <w:rPr/>
            </w:pPr>
            <w:r>
              <w:rPr/>
              <w:t>Certifications pursuant to Section 906 of the Sarbanes-Oxley Act of 2002.</w:t>
            </w:r>
          </w:p>
        </w:tc>
      </w:tr>
      <w:tr>
        <w:trPr/>
        <w:tc>
          <w:tcPr>
            <w:tcW w:w="757" w:type="dxa"/>
            <w:tcBorders/>
            <w:shd w:fill="CCEEFF" w:val="clear"/>
            <w:vAlign w:val="center"/>
          </w:tcPr>
          <w:p>
            <w:pPr>
              <w:pStyle w:val="TableContents"/>
              <w:bidi w:val="0"/>
              <w:spacing w:before="0" w:after="283"/>
              <w:jc w:val="left"/>
              <w:rPr/>
            </w:pPr>
            <w:hyperlink r:id="rId19">
              <w:r>
                <w:rPr>
                  <w:rStyle w:val="InternetLink"/>
                  <w:spacing w:val="0"/>
                </w:rPr>
                <w:t>97.1</w:t>
              </w:r>
            </w:hyperlink>
          </w:p>
        </w:tc>
        <w:tc>
          <w:tcPr>
            <w:tcW w:w="9448" w:type="dxa"/>
            <w:tcBorders/>
            <w:shd w:fill="CCEEFF" w:val="clear"/>
            <w:vAlign w:val="center"/>
          </w:tcPr>
          <w:p>
            <w:pPr>
              <w:pStyle w:val="TableContents"/>
              <w:bidi w:val="0"/>
              <w:spacing w:before="0" w:after="0"/>
              <w:ind w:left="0" w:right="0" w:hanging="0"/>
              <w:jc w:val="left"/>
              <w:rPr>
                <w:spacing w:val="0"/>
              </w:rPr>
            </w:pPr>
            <w:r>
              <w:rPr>
                <w:spacing w:val="0"/>
              </w:rPr>
              <w:t>Atlantic American Corporation Compensation Clawback Policy [incorporated by reference to the Exhibit 97.1 to the registrant’s Form 10-K for the year ended December 31, 2024].</w:t>
            </w:r>
          </w:p>
          <w:p>
            <w:pPr>
              <w:pStyle w:val="TableContents"/>
              <w:bidi w:val="0"/>
              <w:spacing w:before="0" w:after="0"/>
              <w:jc w:val="left"/>
              <w:rPr/>
            </w:pPr>
            <w:r>
              <w:rPr/>
            </w:r>
          </w:p>
        </w:tc>
      </w:tr>
      <w:tr>
        <w:trPr/>
        <w:tc>
          <w:tcPr>
            <w:tcW w:w="757" w:type="dxa"/>
            <w:tcBorders/>
            <w:vAlign w:val="center"/>
          </w:tcPr>
          <w:p>
            <w:pPr>
              <w:pStyle w:val="TableContents"/>
              <w:bidi w:val="0"/>
              <w:spacing w:before="0" w:after="0"/>
              <w:jc w:val="left"/>
              <w:rPr/>
            </w:pPr>
            <w:r>
              <w:rPr/>
              <w:t>101.INS</w:t>
            </w:r>
          </w:p>
        </w:tc>
        <w:tc>
          <w:tcPr>
            <w:tcW w:w="9448" w:type="dxa"/>
            <w:tcBorders/>
            <w:vAlign w:val="center"/>
          </w:tcPr>
          <w:p>
            <w:pPr>
              <w:pStyle w:val="TableContents"/>
              <w:bidi w:val="0"/>
              <w:spacing w:before="0" w:after="283"/>
              <w:jc w:val="both"/>
              <w:rPr/>
            </w:pPr>
            <w:r>
              <w:rPr/>
              <w:t>Inline XBRL Instance Document (the instance document does not appear in the Interactive Data File because its XBRL tags are embedded within the Inline XBRL document).</w:t>
            </w:r>
          </w:p>
        </w:tc>
      </w:tr>
      <w:tr>
        <w:trPr/>
        <w:tc>
          <w:tcPr>
            <w:tcW w:w="757" w:type="dxa"/>
            <w:tcBorders/>
            <w:shd w:fill="CCEEFF" w:val="clear"/>
            <w:vAlign w:val="center"/>
          </w:tcPr>
          <w:p>
            <w:pPr>
              <w:pStyle w:val="TableContents"/>
              <w:bidi w:val="0"/>
              <w:spacing w:before="0" w:after="0"/>
              <w:jc w:val="left"/>
              <w:rPr/>
            </w:pPr>
            <w:r>
              <w:rPr/>
              <w:t>101.SCH</w:t>
            </w:r>
          </w:p>
        </w:tc>
        <w:tc>
          <w:tcPr>
            <w:tcW w:w="9448" w:type="dxa"/>
            <w:tcBorders/>
            <w:shd w:fill="CCEEFF" w:val="clear"/>
            <w:vAlign w:val="center"/>
          </w:tcPr>
          <w:p>
            <w:pPr>
              <w:pStyle w:val="TableContents"/>
              <w:bidi w:val="0"/>
              <w:spacing w:before="0" w:after="0"/>
              <w:jc w:val="left"/>
              <w:rPr/>
            </w:pPr>
            <w:r>
              <w:rPr/>
              <w:t>Inline XBRL Taxonomy Extension Schema.</w:t>
            </w:r>
          </w:p>
        </w:tc>
      </w:tr>
      <w:tr>
        <w:trPr/>
        <w:tc>
          <w:tcPr>
            <w:tcW w:w="757" w:type="dxa"/>
            <w:tcBorders/>
            <w:vAlign w:val="center"/>
          </w:tcPr>
          <w:p>
            <w:pPr>
              <w:pStyle w:val="TableContents"/>
              <w:bidi w:val="0"/>
              <w:spacing w:before="0" w:after="0"/>
              <w:jc w:val="left"/>
              <w:rPr/>
            </w:pPr>
            <w:r>
              <w:rPr/>
              <w:t>101.CAL</w:t>
            </w:r>
          </w:p>
        </w:tc>
        <w:tc>
          <w:tcPr>
            <w:tcW w:w="9448" w:type="dxa"/>
            <w:tcBorders/>
            <w:vAlign w:val="center"/>
          </w:tcPr>
          <w:p>
            <w:pPr>
              <w:pStyle w:val="TableContents"/>
              <w:bidi w:val="0"/>
              <w:spacing w:before="0" w:after="0"/>
              <w:jc w:val="left"/>
              <w:rPr/>
            </w:pPr>
            <w:r>
              <w:rPr/>
              <w:t>Inline XBRL Taxonomy Extension Calculation Linkbase.</w:t>
            </w:r>
          </w:p>
        </w:tc>
      </w:tr>
      <w:tr>
        <w:trPr/>
        <w:tc>
          <w:tcPr>
            <w:tcW w:w="757" w:type="dxa"/>
            <w:tcBorders/>
            <w:shd w:fill="CCEEFF" w:val="clear"/>
            <w:vAlign w:val="center"/>
          </w:tcPr>
          <w:p>
            <w:pPr>
              <w:pStyle w:val="TableContents"/>
              <w:bidi w:val="0"/>
              <w:spacing w:before="0" w:after="0"/>
              <w:jc w:val="left"/>
              <w:rPr/>
            </w:pPr>
            <w:r>
              <w:rPr/>
              <w:t>101.DEF</w:t>
            </w:r>
          </w:p>
        </w:tc>
        <w:tc>
          <w:tcPr>
            <w:tcW w:w="9448" w:type="dxa"/>
            <w:tcBorders/>
            <w:shd w:fill="CCEEFF" w:val="clear"/>
            <w:vAlign w:val="center"/>
          </w:tcPr>
          <w:p>
            <w:pPr>
              <w:pStyle w:val="TableContents"/>
              <w:bidi w:val="0"/>
              <w:spacing w:before="0" w:after="0"/>
              <w:jc w:val="left"/>
              <w:rPr/>
            </w:pPr>
            <w:r>
              <w:rPr/>
              <w:t>Inline XBRL Taxonomy Extension Definition Linkbase.</w:t>
            </w:r>
          </w:p>
        </w:tc>
      </w:tr>
      <w:tr>
        <w:trPr/>
        <w:tc>
          <w:tcPr>
            <w:tcW w:w="757" w:type="dxa"/>
            <w:tcBorders/>
            <w:vAlign w:val="center"/>
          </w:tcPr>
          <w:p>
            <w:pPr>
              <w:pStyle w:val="TableContents"/>
              <w:bidi w:val="0"/>
              <w:spacing w:before="0" w:after="0"/>
              <w:jc w:val="left"/>
              <w:rPr/>
            </w:pPr>
            <w:r>
              <w:rPr/>
              <w:t>101.LAB</w:t>
            </w:r>
          </w:p>
        </w:tc>
        <w:tc>
          <w:tcPr>
            <w:tcW w:w="9448" w:type="dxa"/>
            <w:tcBorders/>
            <w:vAlign w:val="center"/>
          </w:tcPr>
          <w:p>
            <w:pPr>
              <w:pStyle w:val="TableContents"/>
              <w:bidi w:val="0"/>
              <w:spacing w:before="0" w:after="0"/>
              <w:jc w:val="left"/>
              <w:rPr/>
            </w:pPr>
            <w:r>
              <w:rPr/>
              <w:t>Inline XBRL Taxonomy Extension Label Linkbase.</w:t>
            </w:r>
          </w:p>
        </w:tc>
      </w:tr>
      <w:tr>
        <w:trPr/>
        <w:tc>
          <w:tcPr>
            <w:tcW w:w="757" w:type="dxa"/>
            <w:tcBorders/>
            <w:shd w:fill="CCEEFF" w:val="clear"/>
            <w:vAlign w:val="center"/>
          </w:tcPr>
          <w:p>
            <w:pPr>
              <w:pStyle w:val="TableContents"/>
              <w:bidi w:val="0"/>
              <w:spacing w:before="0" w:after="0"/>
              <w:jc w:val="left"/>
              <w:rPr/>
            </w:pPr>
            <w:r>
              <w:rPr/>
              <w:t>101.PRE</w:t>
            </w:r>
          </w:p>
        </w:tc>
        <w:tc>
          <w:tcPr>
            <w:tcW w:w="9448" w:type="dxa"/>
            <w:tcBorders/>
            <w:shd w:fill="CCEEFF" w:val="clear"/>
            <w:vAlign w:val="center"/>
          </w:tcPr>
          <w:p>
            <w:pPr>
              <w:pStyle w:val="TableContents"/>
              <w:bidi w:val="0"/>
              <w:spacing w:before="0" w:after="0"/>
              <w:jc w:val="left"/>
              <w:rPr/>
            </w:pPr>
            <w:r>
              <w:rPr/>
              <w:t>Inline XBRL Taxonomy Extension Presentation Linkbase.</w:t>
            </w:r>
          </w:p>
        </w:tc>
      </w:tr>
      <w:tr>
        <w:trPr/>
        <w:tc>
          <w:tcPr>
            <w:tcW w:w="757" w:type="dxa"/>
            <w:tcBorders/>
            <w:vAlign w:val="center"/>
          </w:tcPr>
          <w:p>
            <w:pPr>
              <w:pStyle w:val="TableContents"/>
              <w:bidi w:val="0"/>
              <w:spacing w:before="0" w:after="0"/>
              <w:jc w:val="left"/>
              <w:rPr/>
            </w:pPr>
            <w:r>
              <w:rPr/>
              <w:t>104</w:t>
            </w:r>
          </w:p>
        </w:tc>
        <w:tc>
          <w:tcPr>
            <w:tcW w:w="9448" w:type="dxa"/>
            <w:tcBorders/>
            <w:vAlign w:val="center"/>
          </w:tcPr>
          <w:p>
            <w:pPr>
              <w:pStyle w:val="TableContents"/>
              <w:bidi w:val="0"/>
              <w:spacing w:before="0" w:after="0"/>
              <w:jc w:val="left"/>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   The registrant agrees to furnish to the Commission upon request a copy of any instruments defining the rights of security holders of the registrant that may be omitted from filing in accordance with the Commission’s rules and regulations.</w:t>
      </w:r>
    </w:p>
    <w:p>
      <w:pPr>
        <w:pStyle w:val="TextBody"/>
        <w:bidi w:val="0"/>
        <w:spacing w:before="0" w:after="0"/>
        <w:jc w:val="both"/>
        <w:rPr/>
      </w:pPr>
      <w:r>
        <w:rPr/>
      </w:r>
    </w:p>
    <w:p>
      <w:pPr>
        <w:pStyle w:val="TextBody"/>
        <w:bidi w:val="0"/>
        <w:spacing w:before="0" w:after="0"/>
        <w:jc w:val="both"/>
        <w:rPr>
          <w:rFonts w:ascii="Times New Roman" w:hAnsi="Times New Roman"/>
          <w:sz w:val="20"/>
        </w:rPr>
      </w:pPr>
      <w:r>
        <w:rPr>
          <w:rFonts w:ascii="Times New Roman" w:hAnsi="Times New Roman"/>
          <w:sz w:val="20"/>
        </w:rPr>
        <w:t>** Management contract, compensatory plan or arrangement.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8" w:name="z663d322d25d44163980082be74573fc3"/>
      <w:bookmarkStart w:id="379" w:name="Form10-KSummary"/>
      <w:bookmarkStart w:id="380" w:name="z663d322d25d44163980082be74573fc3"/>
      <w:bookmarkStart w:id="381" w:name="Form10-KSummary"/>
      <w:bookmarkEnd w:id="380"/>
      <w:bookmarkEnd w:id="381"/>
    </w:p>
    <w:tbl>
      <w:tblPr>
        <w:tblW w:w="3175" w:type="dxa"/>
        <w:jc w:val="left"/>
        <w:tblInd w:w="0" w:type="dxa"/>
        <w:tblLayout w:type="fixed"/>
        <w:tblCellMar>
          <w:top w:w="0" w:type="dxa"/>
          <w:left w:w="0" w:type="dxa"/>
          <w:bottom w:w="0" w:type="dxa"/>
          <w:right w:w="0" w:type="dxa"/>
        </w:tblCellMar>
      </w:tblPr>
      <w:tblGrid>
        <w:gridCol w:w="890"/>
        <w:gridCol w:w="2285"/>
      </w:tblGrid>
      <w:tr>
        <w:trPr/>
        <w:tc>
          <w:tcPr>
            <w:tcW w:w="890" w:type="dxa"/>
            <w:tcBorders/>
            <w:vAlign w:val="center"/>
          </w:tcPr>
          <w:p>
            <w:pPr>
              <w:pStyle w:val="TableContents"/>
              <w:bidi w:val="0"/>
              <w:spacing w:before="0" w:after="283"/>
              <w:jc w:val="left"/>
              <w:rPr>
                <w:b/>
              </w:rPr>
            </w:pPr>
            <w:r>
              <w:rPr>
                <w:b/>
              </w:rPr>
              <w:t>Item 16.</w:t>
            </w:r>
          </w:p>
        </w:tc>
        <w:tc>
          <w:tcPr>
            <w:tcW w:w="2285" w:type="dxa"/>
            <w:tcBorders/>
            <w:vAlign w:val="center"/>
          </w:tcPr>
          <w:p>
            <w:pPr>
              <w:pStyle w:val="TableContents"/>
              <w:bidi w:val="0"/>
              <w:spacing w:before="0" w:after="0"/>
              <w:jc w:val="left"/>
              <w:rPr>
                <w:b/>
              </w:rPr>
            </w:pPr>
            <w:r>
              <w:rPr>
                <w:b/>
              </w:rPr>
              <w:t>Form 10-K Summary</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bookmarkStart w:id="382" w:name="SIGNATURES"/>
      <w:bookmarkEnd w:id="382"/>
      <w:r>
        <w:rPr>
          <w:rFonts w:ascii="Times New Roman" w:hAnsi="Times New Roman"/>
          <w:b/>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3" w:name="z226fbabfd72a4ab4853a52165ffbded3"/>
      <w:bookmarkStart w:id="384" w:name="z226fbabfd72a4ab4853a52165ffbded3"/>
      <w:bookmarkEnd w:id="384"/>
    </w:p>
    <w:tbl>
      <w:tblPr>
        <w:tblW w:w="5155" w:type="dxa"/>
        <w:jc w:val="left"/>
        <w:tblInd w:w="0" w:type="dxa"/>
        <w:tblLayout w:type="fixed"/>
        <w:tblCellMar>
          <w:top w:w="0" w:type="dxa"/>
          <w:left w:w="0" w:type="dxa"/>
          <w:bottom w:w="0" w:type="dxa"/>
          <w:right w:w="0" w:type="dxa"/>
        </w:tblCellMar>
      </w:tblPr>
      <w:tblGrid>
        <w:gridCol w:w="90"/>
        <w:gridCol w:w="395"/>
        <w:gridCol w:w="4670"/>
      </w:tblGrid>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ATLANTIC AMERICAN CORPORATION</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(Registrant)</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pPr>
            <w:r>
              <w:rPr/>
              <w:t>By:</w:t>
            </w:r>
          </w:p>
        </w:tc>
        <w:tc>
          <w:tcPr>
            <w:tcW w:w="4670" w:type="dxa"/>
            <w:tcBorders>
              <w:bottom w:val="single" w:sz="12" w:space="0" w:color="000000"/>
            </w:tcBorders>
            <w:tcMar>
              <w:bottom w:w="28" w:type="dxa"/>
            </w:tcMar>
            <w:vAlign w:val="center"/>
          </w:tcPr>
          <w:p>
            <w:pPr>
              <w:pStyle w:val="TableContents"/>
              <w:bidi w:val="0"/>
              <w:spacing w:before="0" w:after="0"/>
              <w:jc w:val="left"/>
              <w:rPr/>
            </w:pPr>
            <w:r>
              <w:rPr/>
              <w:t>/s/ Nickeesha Bates</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Nickeesha Bates</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 xml:space="preserve">Vice President, Corporate Controller, Corporate </w:t>
            </w:r>
          </w:p>
          <w:p>
            <w:pPr>
              <w:pStyle w:val="TableContents"/>
              <w:bidi w:val="0"/>
              <w:spacing w:before="0" w:after="0"/>
              <w:jc w:val="left"/>
              <w:rPr/>
            </w:pPr>
            <w:r>
              <w:rPr/>
              <w:t>Accounting/Finance</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Date</w:t>
            </w:r>
            <w:r>
              <w:rPr>
                <w:color w:val="C00000"/>
              </w:rPr>
              <w:t xml:space="preserve">: </w:t>
            </w:r>
            <w:r>
              <w:rPr>
                <w:color w:val="000000"/>
              </w:rPr>
              <w:t>October 16, 2026</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5" w:name="z244e93cd4c4d4f70863c3e288fcf11be"/>
      <w:bookmarkStart w:id="386" w:name="z244e93cd4c4d4f70863c3e288fcf11be"/>
      <w:bookmarkEnd w:id="386"/>
    </w:p>
    <w:tbl>
      <w:tblPr>
        <w:tblW w:w="10205" w:type="dxa"/>
        <w:jc w:val="left"/>
        <w:tblInd w:w="0" w:type="dxa"/>
        <w:tblLayout w:type="fixed"/>
        <w:tblCellMar>
          <w:top w:w="0" w:type="dxa"/>
          <w:left w:w="0" w:type="dxa"/>
          <w:bottom w:w="28" w:type="dxa"/>
          <w:right w:w="0" w:type="dxa"/>
        </w:tblCellMar>
      </w:tblPr>
      <w:tblGrid>
        <w:gridCol w:w="2605"/>
        <w:gridCol w:w="90"/>
        <w:gridCol w:w="5802"/>
        <w:gridCol w:w="90"/>
        <w:gridCol w:w="1618"/>
      </w:tblGrid>
      <w:tr>
        <w:trPr/>
        <w:tc>
          <w:tcPr>
            <w:tcW w:w="2605" w:type="dxa"/>
            <w:tcBorders>
              <w:bottom w:val="single" w:sz="12" w:space="0" w:color="000000"/>
            </w:tcBorders>
            <w:vAlign w:val="center"/>
          </w:tcPr>
          <w:p>
            <w:pPr>
              <w:pStyle w:val="TableContents"/>
              <w:bidi w:val="0"/>
              <w:spacing w:before="0" w:after="0"/>
              <w:jc w:val="center"/>
              <w:rPr>
                <w:b/>
              </w:rPr>
            </w:pPr>
            <w:r>
              <w:rPr>
                <w:b/>
              </w:rPr>
              <w:t>Signature</w:t>
            </w:r>
          </w:p>
        </w:tc>
        <w:tc>
          <w:tcPr>
            <w:tcW w:w="90" w:type="dxa"/>
            <w:tcBorders/>
            <w:tcMar>
              <w:bottom w:w="0" w:type="dxa"/>
            </w:tcMar>
            <w:vAlign w:val="center"/>
          </w:tcPr>
          <w:p>
            <w:pPr>
              <w:pStyle w:val="TableContents"/>
              <w:bidi w:val="0"/>
              <w:spacing w:before="0" w:after="283"/>
              <w:jc w:val="left"/>
              <w:rPr/>
            </w:pPr>
            <w:r>
              <w:rPr/>
              <w:t> </w:t>
            </w:r>
          </w:p>
        </w:tc>
        <w:tc>
          <w:tcPr>
            <w:tcW w:w="5802" w:type="dxa"/>
            <w:tcBorders>
              <w:bottom w:val="single" w:sz="12" w:space="0" w:color="000000"/>
            </w:tcBorders>
            <w:vAlign w:val="center"/>
          </w:tcPr>
          <w:p>
            <w:pPr>
              <w:pStyle w:val="TableContents"/>
              <w:bidi w:val="0"/>
              <w:spacing w:before="0" w:after="0"/>
              <w:jc w:val="left"/>
              <w:rPr>
                <w:b/>
              </w:rPr>
            </w:pPr>
            <w:r>
              <w:rPr>
                <w:b/>
              </w:rPr>
              <w:t>Title</w:t>
            </w:r>
          </w:p>
        </w:tc>
        <w:tc>
          <w:tcPr>
            <w:tcW w:w="90" w:type="dxa"/>
            <w:tcBorders/>
            <w:tcMar>
              <w:bottom w:w="0" w:type="dxa"/>
            </w:tcMar>
            <w:vAlign w:val="center"/>
          </w:tcPr>
          <w:p>
            <w:pPr>
              <w:pStyle w:val="TableContents"/>
              <w:bidi w:val="0"/>
              <w:spacing w:before="0" w:after="283"/>
              <w:jc w:val="left"/>
              <w:rPr/>
            </w:pPr>
            <w:r>
              <w:rPr/>
              <w:t> </w:t>
            </w:r>
          </w:p>
        </w:tc>
        <w:tc>
          <w:tcPr>
            <w:tcW w:w="1618" w:type="dxa"/>
            <w:tcBorders>
              <w:bottom w:val="single" w:sz="12" w:space="0" w:color="000000"/>
            </w:tcBorders>
            <w:vAlign w:val="center"/>
          </w:tcPr>
          <w:p>
            <w:pPr>
              <w:pStyle w:val="TableContents"/>
              <w:bidi w:val="0"/>
              <w:spacing w:before="0" w:after="0"/>
              <w:jc w:val="center"/>
              <w:rPr>
                <w:b/>
              </w:rPr>
            </w:pPr>
            <w:r>
              <w:rPr>
                <w:b/>
              </w:rPr>
              <w:t>Date</w:t>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Hilton H. Howell, Jr.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President, Chief Executive Officer and Chairman of the Board</w:t>
            </w:r>
          </w:p>
          <w:p>
            <w:pPr>
              <w:pStyle w:val="TableContents"/>
              <w:bidi w:val="0"/>
              <w:spacing w:before="0" w:after="0"/>
              <w:jc w:val="left"/>
              <w:rPr/>
            </w:pPr>
            <w:r>
              <w:rPr/>
              <w:t>(Principal Executive Officer)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w:t>
            </w:r>
            <w:r>
              <w:rPr>
                <w:spacing w:val="0"/>
              </w:rPr>
              <w:t>6</w:t>
            </w:r>
            <w:r>
              <w:rPr/>
              <w:t>, 2026</w:t>
            </w:r>
          </w:p>
        </w:tc>
      </w:tr>
      <w:tr>
        <w:trPr/>
        <w:tc>
          <w:tcPr>
            <w:tcW w:w="2605" w:type="dxa"/>
            <w:tcBorders/>
            <w:tcMar>
              <w:bottom w:w="0" w:type="dxa"/>
            </w:tcMar>
            <w:vAlign w:val="center"/>
          </w:tcPr>
          <w:p>
            <w:pPr>
              <w:pStyle w:val="TableContents"/>
              <w:bidi w:val="0"/>
              <w:spacing w:before="0" w:after="0"/>
              <w:jc w:val="left"/>
              <w:rPr/>
            </w:pPr>
            <w:r>
              <w:rPr/>
              <w:t>HILTON H. HOWELL, JR.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Nickeesha Bates</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Vice President, Corporate Controller, Corporate Accounting/Finance</w:t>
            </w:r>
          </w:p>
          <w:p>
            <w:pPr>
              <w:pStyle w:val="TableContents"/>
              <w:bidi w:val="0"/>
              <w:spacing w:before="0" w:after="0"/>
              <w:jc w:val="left"/>
              <w:rPr/>
            </w:pPr>
            <w:r>
              <w:rPr/>
              <w:t>(Acting Principal Financial and Accounting Officer)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NICKEESHA BATES</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Robin R. Howell</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ROBIN R. HOWELL</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Mark E. Preisinger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MARK E. PREISINGER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Joseph M. Scheerer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JOSEPH M. SCHEERER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Scott G. Thompson</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SCOTT G. THOMPSON</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D. Keehln Wheeler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D. KEEHLN WHEELER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87" w:name="ScheduleII"/>
      <w:bookmarkEnd w:id="387"/>
      <w:r>
        <w:rPr>
          <w:rFonts w:ascii="Times New Roman" w:hAnsi="Times New Roman"/>
          <w:b/>
          <w:sz w:val="20"/>
        </w:rPr>
        <w:t>Schedule II</w:t>
      </w:r>
    </w:p>
    <w:p>
      <w:pPr>
        <w:pStyle w:val="TextBody"/>
        <w:bidi w:val="0"/>
        <w:spacing w:before="0" w:after="0"/>
        <w:jc w:val="right"/>
        <w:rPr>
          <w:rFonts w:ascii="Times New Roman" w:hAnsi="Times New Roman"/>
          <w:b/>
          <w:sz w:val="20"/>
        </w:rPr>
      </w:pPr>
      <w:r>
        <w:rPr>
          <w:rFonts w:ascii="Times New Roman" w:hAnsi="Times New Roman"/>
          <w:b/>
          <w:sz w:val="20"/>
        </w:rPr>
        <w:t>Page 1 of 3</w:t>
      </w:r>
    </w:p>
    <w:p>
      <w:pPr>
        <w:pStyle w:val="TextBody"/>
        <w:bidi w:val="0"/>
        <w:spacing w:before="0" w:after="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CONDENSED FINANCIAL INFORMATION OF REGISTRANT</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(Parent Company Only)</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BALANCE SHEETS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8" w:name="z581694c5651a4b9aaa834be43b7a79cb"/>
      <w:bookmarkStart w:id="389" w:name="z581694c5651a4b9aaa834be43b7a79cb"/>
      <w:bookmarkEnd w:id="389"/>
    </w:p>
    <w:tbl>
      <w:tblPr>
        <w:tblW w:w="7759" w:type="dxa"/>
        <w:jc w:val="left"/>
        <w:tblInd w:w="0" w:type="dxa"/>
        <w:tblLayout w:type="fixed"/>
        <w:tblCellMar>
          <w:top w:w="0" w:type="dxa"/>
          <w:left w:w="0" w:type="dxa"/>
          <w:bottom w:w="0" w:type="dxa"/>
          <w:right w:w="0" w:type="dxa"/>
        </w:tblCellMar>
      </w:tblPr>
      <w:tblGrid>
        <w:gridCol w:w="5345"/>
        <w:gridCol w:w="90"/>
        <w:gridCol w:w="170"/>
        <w:gridCol w:w="830"/>
        <w:gridCol w:w="90"/>
        <w:gridCol w:w="90"/>
        <w:gridCol w:w="171"/>
        <w:gridCol w:w="838"/>
        <w:gridCol w:w="135"/>
      </w:tblGrid>
      <w:tr>
        <w:trPr/>
        <w:tc>
          <w:tcPr>
            <w:tcW w:w="5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9" w:type="dxa"/>
            <w:gridSpan w:val="6"/>
            <w:tcBorders/>
            <w:vAlign w:val="bottom"/>
          </w:tcPr>
          <w:p>
            <w:pPr>
              <w:pStyle w:val="TableContents"/>
              <w:bidi w:val="0"/>
              <w:spacing w:before="0" w:after="0"/>
              <w:jc w:val="center"/>
              <w:rPr>
                <w:b/>
              </w:rPr>
            </w:pPr>
            <w:r>
              <w:rPr>
                <w:b/>
              </w:rPr>
              <w:t>December 31,</w:t>
            </w:r>
          </w:p>
        </w:tc>
        <w:tc>
          <w:tcPr>
            <w:tcW w:w="135"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35"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0"/>
              <w:jc w:val="center"/>
              <w:rPr/>
            </w:pPr>
            <w:r>
              <w:rPr/>
              <w:t>(Restated)</w:t>
            </w:r>
          </w:p>
        </w:tc>
        <w:tc>
          <w:tcPr>
            <w:tcW w:w="135"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jc w:val="left"/>
              <w:rPr>
                <w:b/>
              </w:rPr>
            </w:pPr>
            <w:r>
              <w:rPr>
                <w:b/>
              </w:rPr>
              <w:t>ASSETS</w:t>
            </w:r>
          </w:p>
        </w:tc>
        <w:tc>
          <w:tcPr>
            <w:tcW w:w="90" w:type="dxa"/>
            <w:tcBorders/>
            <w:vAlign w:val="bottom"/>
          </w:tcPr>
          <w:p>
            <w:pPr>
              <w:pStyle w:val="TableContents"/>
              <w:bidi w:val="0"/>
              <w:spacing w:before="0" w:after="283"/>
              <w:jc w:val="left"/>
              <w:rPr/>
            </w:pPr>
            <w:r>
              <w:rPr/>
              <w:t> </w:t>
            </w:r>
          </w:p>
        </w:tc>
        <w:tc>
          <w:tcPr>
            <w:tcW w:w="2189" w:type="dxa"/>
            <w:gridSpan w:val="6"/>
            <w:tcBorders/>
            <w:vAlign w:val="bottom"/>
          </w:tcPr>
          <w:p>
            <w:pPr>
              <w:pStyle w:val="TableContents"/>
              <w:bidi w:val="0"/>
              <w:spacing w:before="0" w:after="0"/>
              <w:jc w:val="center"/>
              <w:rPr/>
            </w:pPr>
            <w:r>
              <w:rPr/>
              <w:t>(In thousands)</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Cash and cash equivalents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2,196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3,916</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Investments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1,909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1,696</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Investment in subsidiaries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133,212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122,232</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Investments in unconsolidated trusts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1,238</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Deferred tax asset, net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15,044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15,970</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Income taxes receivable from subsidiaries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2,839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658</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Other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10,353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9,874</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Total assets</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166,791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pPr>
            <w:r>
              <w:rPr/>
              <w:t>$</w:t>
            </w:r>
          </w:p>
        </w:tc>
        <w:tc>
          <w:tcPr>
            <w:tcW w:w="838" w:type="dxa"/>
            <w:tcBorders>
              <w:bottom w:val="double" w:sz="8" w:space="0" w:color="000000"/>
            </w:tcBorders>
            <w:tcMar>
              <w:bottom w:w="28" w:type="dxa"/>
            </w:tcMar>
            <w:vAlign w:val="bottom"/>
          </w:tcPr>
          <w:p>
            <w:pPr>
              <w:pStyle w:val="TableContents"/>
              <w:bidi w:val="0"/>
              <w:spacing w:before="0" w:after="0"/>
              <w:jc w:val="right"/>
              <w:rPr/>
            </w:pPr>
            <w:r>
              <w:rPr/>
              <w:t>155,584</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b/>
              </w:rPr>
            </w:pPr>
            <w:r>
              <w:rPr>
                <w:b/>
              </w:rPr>
              <w:t>LIABILITIES AND SHAREHOLDERS’ EQUITY</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Other payables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7,244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7,252</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Revolving credit facility</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pPr>
            <w:r>
              <w:rPr/>
              <w:t>4,023</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Junior subordinated debentures obligations, net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33,738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33,738</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360" w:right="0" w:hanging="180"/>
              <w:jc w:val="left"/>
              <w:rPr/>
            </w:pPr>
            <w:r>
              <w:rPr/>
              <w:t>Total liabilities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46,003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45,013</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Shareholders’ equity</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120,788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bottom w:val="double" w:sz="8" w:space="0" w:color="000000"/>
            </w:tcBorders>
            <w:tcMar>
              <w:bottom w:w="28" w:type="dxa"/>
            </w:tcMar>
            <w:vAlign w:val="bottom"/>
          </w:tcPr>
          <w:p>
            <w:pPr>
              <w:pStyle w:val="TableContents"/>
              <w:bidi w:val="0"/>
              <w:spacing w:before="0" w:after="283"/>
              <w:jc w:val="left"/>
              <w:rPr/>
            </w:pPr>
            <w:r>
              <w:rPr/>
              <w:t> </w:t>
            </w:r>
          </w:p>
        </w:tc>
        <w:tc>
          <w:tcPr>
            <w:tcW w:w="838" w:type="dxa"/>
            <w:tcBorders>
              <w:bottom w:val="double" w:sz="8" w:space="0" w:color="000000"/>
            </w:tcBorders>
            <w:tcMar>
              <w:bottom w:w="28" w:type="dxa"/>
            </w:tcMar>
            <w:vAlign w:val="bottom"/>
          </w:tcPr>
          <w:p>
            <w:pPr>
              <w:pStyle w:val="TableContents"/>
              <w:bidi w:val="0"/>
              <w:spacing w:before="0" w:after="0"/>
              <w:jc w:val="right"/>
              <w:rPr/>
            </w:pPr>
            <w:r>
              <w:rPr/>
              <w:t>110,571</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Total liabilities and shareholders’ equity</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166,791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pPr>
            <w:r>
              <w:rPr/>
              <w:t>155,584</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Schedule II</w:t>
      </w:r>
    </w:p>
    <w:p>
      <w:pPr>
        <w:pStyle w:val="TextBody"/>
        <w:bidi w:val="0"/>
        <w:spacing w:before="0" w:after="0"/>
        <w:jc w:val="right"/>
        <w:rPr>
          <w:rFonts w:ascii="Times New Roman" w:hAnsi="Times New Roman"/>
          <w:b/>
          <w:sz w:val="20"/>
        </w:rPr>
      </w:pPr>
      <w:r>
        <w:rPr>
          <w:rFonts w:ascii="Times New Roman" w:hAnsi="Times New Roman"/>
          <w:b/>
          <w:sz w:val="20"/>
        </w:rPr>
        <w:t>Page 2 of 3</w:t>
      </w:r>
    </w:p>
    <w:p>
      <w:pPr>
        <w:pStyle w:val="TextBody"/>
        <w:bidi w:val="0"/>
        <w:spacing w:before="0" w:after="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CONDENSED FINANCIAL INFORMATION OF REGISTRANT</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(Parent Company Only)</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STATEMENTS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0" w:name="zfb3bfafc706b45099ff60ae26509cbdb"/>
      <w:bookmarkStart w:id="391" w:name="zfb3bfafc706b45099ff60ae26509cbdb"/>
      <w:bookmarkEnd w:id="391"/>
    </w:p>
    <w:tbl>
      <w:tblPr>
        <w:tblW w:w="8322" w:type="dxa"/>
        <w:jc w:val="left"/>
        <w:tblInd w:w="0" w:type="dxa"/>
        <w:tblLayout w:type="fixed"/>
        <w:tblCellMar>
          <w:top w:w="0" w:type="dxa"/>
          <w:left w:w="0" w:type="dxa"/>
          <w:bottom w:w="0" w:type="dxa"/>
          <w:right w:w="0" w:type="dxa"/>
        </w:tblCellMar>
      </w:tblPr>
      <w:tblGrid>
        <w:gridCol w:w="5315"/>
        <w:gridCol w:w="90"/>
        <w:gridCol w:w="236"/>
        <w:gridCol w:w="988"/>
        <w:gridCol w:w="174"/>
        <w:gridCol w:w="125"/>
        <w:gridCol w:w="236"/>
        <w:gridCol w:w="988"/>
        <w:gridCol w:w="170"/>
      </w:tblGrid>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0"/>
              <w:jc w:val="center"/>
              <w:rPr/>
            </w:pPr>
            <w:r>
              <w:rPr/>
              <w:t>(Restated)</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0"/>
              <w:jc w:val="center"/>
              <w:rPr/>
            </w:pPr>
            <w:r>
              <w:rPr/>
              <w:t>(In thousands)</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0"/>
              <w:jc w:val="left"/>
              <w:rPr>
                <w:b/>
              </w:rPr>
            </w:pPr>
            <w:r>
              <w:rPr>
                <w:b/>
              </w:rPr>
              <w:t>Revenue</w:t>
            </w:r>
          </w:p>
        </w:tc>
        <w:tc>
          <w:tcPr>
            <w:tcW w:w="90"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ind w:left="180" w:right="0" w:hanging="0"/>
              <w:jc w:val="left"/>
              <w:rPr/>
            </w:pPr>
            <w:r>
              <w:rPr/>
              <w:t>Fee income from subsidiaries</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pPr>
            <w:r>
              <w:rPr/>
              <w:t>$</w:t>
            </w:r>
          </w:p>
        </w:tc>
        <w:tc>
          <w:tcPr>
            <w:tcW w:w="988" w:type="dxa"/>
            <w:tcBorders/>
            <w:shd w:fill="CCEEFF" w:val="clear"/>
            <w:vAlign w:val="bottom"/>
          </w:tcPr>
          <w:p>
            <w:pPr>
              <w:pStyle w:val="TableContents"/>
              <w:bidi w:val="0"/>
              <w:spacing w:before="0" w:after="0"/>
              <w:jc w:val="right"/>
              <w:rPr/>
            </w:pPr>
            <w:r>
              <w:rPr/>
              <w:t>9,694</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pPr>
            <w:r>
              <w:rPr/>
              <w:t>$</w:t>
            </w:r>
          </w:p>
        </w:tc>
        <w:tc>
          <w:tcPr>
            <w:tcW w:w="988" w:type="dxa"/>
            <w:tcBorders/>
            <w:shd w:fill="CCEEFF" w:val="clear"/>
            <w:vAlign w:val="bottom"/>
          </w:tcPr>
          <w:p>
            <w:pPr>
              <w:pStyle w:val="TableContents"/>
              <w:bidi w:val="0"/>
              <w:spacing w:before="0" w:after="0"/>
              <w:jc w:val="right"/>
              <w:rPr/>
            </w:pPr>
            <w:r>
              <w:rPr/>
              <w:t>9,531</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0"/>
              <w:ind w:left="180" w:right="0" w:hanging="0"/>
              <w:jc w:val="left"/>
              <w:rPr/>
            </w:pPr>
            <w:r>
              <w:rPr/>
              <w:t>Distributed earnings from subsidiaries</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8,400</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9,000</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ind w:left="180" w:right="0" w:hanging="0"/>
              <w:jc w:val="left"/>
              <w:rPr/>
            </w:pPr>
            <w:r>
              <w:rPr/>
              <w:t>Unrealized losses on equity securities, net</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168</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(187</w:t>
            </w:r>
          </w:p>
        </w:tc>
        <w:tc>
          <w:tcPr>
            <w:tcW w:w="170" w:type="dxa"/>
            <w:tcBorders/>
            <w:shd w:fill="CCEEFF" w:val="clear"/>
            <w:vAlign w:val="bottom"/>
          </w:tcPr>
          <w:p>
            <w:pPr>
              <w:pStyle w:val="TableContents"/>
              <w:bidi w:val="0"/>
              <w:spacing w:before="0" w:after="0"/>
              <w:jc w:val="left"/>
              <w:rPr/>
            </w:pPr>
            <w:r>
              <w:rPr/>
              <w:t>)</w:t>
            </w:r>
          </w:p>
        </w:tc>
      </w:tr>
      <w:tr>
        <w:trPr/>
        <w:tc>
          <w:tcPr>
            <w:tcW w:w="5315" w:type="dxa"/>
            <w:tcBorders/>
            <w:vAlign w:val="bottom"/>
          </w:tcPr>
          <w:p>
            <w:pPr>
              <w:pStyle w:val="TableContents"/>
              <w:bidi w:val="0"/>
              <w:spacing w:before="0" w:after="0"/>
              <w:ind w:left="180" w:right="0" w:hanging="0"/>
              <w:jc w:val="left"/>
              <w:rPr/>
            </w:pPr>
            <w:r>
              <w:rPr/>
              <w:t>Other</w:t>
            </w:r>
          </w:p>
        </w:tc>
        <w:tc>
          <w:tcPr>
            <w:tcW w:w="90"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tcMar>
              <w:bottom w:w="28" w:type="dxa"/>
            </w:tcMar>
            <w:vAlign w:val="bottom"/>
          </w:tcPr>
          <w:p>
            <w:pPr>
              <w:pStyle w:val="TableContents"/>
              <w:bidi w:val="0"/>
              <w:spacing w:before="0" w:after="0"/>
              <w:jc w:val="right"/>
              <w:rPr/>
            </w:pPr>
            <w:r>
              <w:rPr/>
              <w:t>(164</w:t>
            </w:r>
          </w:p>
        </w:tc>
        <w:tc>
          <w:tcPr>
            <w:tcW w:w="174" w:type="dxa"/>
            <w:tcBorders/>
            <w:vAlign w:val="bottom"/>
          </w:tcPr>
          <w:p>
            <w:pPr>
              <w:pStyle w:val="TableContents"/>
              <w:bidi w:val="0"/>
              <w:spacing w:before="0" w:after="0"/>
              <w:jc w:val="left"/>
              <w:rPr/>
            </w:pPr>
            <w:r>
              <w:rPr/>
              <w:t>)</w:t>
            </w:r>
          </w:p>
        </w:tc>
        <w:tc>
          <w:tcPr>
            <w:tcW w:w="125"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tcMar>
              <w:bottom w:w="28" w:type="dxa"/>
            </w:tcMar>
            <w:vAlign w:val="bottom"/>
          </w:tcPr>
          <w:p>
            <w:pPr>
              <w:pStyle w:val="TableContents"/>
              <w:bidi w:val="0"/>
              <w:spacing w:before="0" w:after="0"/>
              <w:jc w:val="right"/>
              <w:rPr/>
            </w:pPr>
            <w:r>
              <w:rPr/>
              <w:t>(159</w:t>
            </w:r>
          </w:p>
        </w:tc>
        <w:tc>
          <w:tcPr>
            <w:tcW w:w="170" w:type="dxa"/>
            <w:tcBorders/>
            <w:vAlign w:val="bottom"/>
          </w:tcPr>
          <w:p>
            <w:pPr>
              <w:pStyle w:val="TableContents"/>
              <w:bidi w:val="0"/>
              <w:spacing w:before="0" w:after="0"/>
              <w:jc w:val="left"/>
              <w:rPr/>
            </w:pPr>
            <w:r>
              <w:rPr/>
              <w:t>)</w:t>
            </w:r>
          </w:p>
        </w:tc>
      </w:tr>
      <w:tr>
        <w:trPr/>
        <w:tc>
          <w:tcPr>
            <w:tcW w:w="5315" w:type="dxa"/>
            <w:tcBorders/>
            <w:shd w:fill="CCEEFF" w:val="clear"/>
            <w:vAlign w:val="bottom"/>
          </w:tcPr>
          <w:p>
            <w:pPr>
              <w:pStyle w:val="TableContents"/>
              <w:bidi w:val="0"/>
              <w:spacing w:before="0" w:after="0"/>
              <w:ind w:left="360" w:right="0" w:hanging="0"/>
              <w:jc w:val="left"/>
              <w:rPr/>
            </w:pPr>
            <w:r>
              <w:rPr/>
              <w:t>Total revenue</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18,098</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18,185</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jc w:val="left"/>
              <w:rPr>
                <w:b/>
              </w:rPr>
            </w:pPr>
            <w:r>
              <w:rPr>
                <w:b/>
              </w:rPr>
              <w:t>General and administrative expenses</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16,489</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16,073</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jc w:val="left"/>
              <w:rPr>
                <w:b/>
              </w:rPr>
            </w:pPr>
            <w:r>
              <w:rPr>
                <w:b/>
              </w:rPr>
              <w:t>Interest expense</w:t>
            </w:r>
          </w:p>
        </w:tc>
        <w:tc>
          <w:tcPr>
            <w:tcW w:w="9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3,081</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3,419</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(1,472</w:t>
            </w:r>
          </w:p>
        </w:tc>
        <w:tc>
          <w:tcPr>
            <w:tcW w:w="174" w:type="dxa"/>
            <w:tcBorders/>
            <w:vAlign w:val="bottom"/>
          </w:tcPr>
          <w:p>
            <w:pPr>
              <w:pStyle w:val="TableContents"/>
              <w:bidi w:val="0"/>
              <w:spacing w:before="0" w:after="0"/>
              <w:jc w:val="left"/>
              <w:rPr/>
            </w:pPr>
            <w:r>
              <w:rPr/>
              <w:t>)</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(1,307</w:t>
            </w:r>
          </w:p>
        </w:tc>
        <w:tc>
          <w:tcPr>
            <w:tcW w:w="170" w:type="dxa"/>
            <w:tcBorders/>
            <w:vAlign w:val="bottom"/>
          </w:tcPr>
          <w:p>
            <w:pPr>
              <w:pStyle w:val="TableContents"/>
              <w:bidi w:val="0"/>
              <w:spacing w:before="0" w:after="0"/>
              <w:jc w:val="left"/>
              <w:rPr/>
            </w:pPr>
            <w:r>
              <w:rPr/>
              <w:t>)</w:t>
            </w:r>
          </w:p>
        </w:tc>
      </w:tr>
      <w:tr>
        <w:trPr/>
        <w:tc>
          <w:tcPr>
            <w:tcW w:w="5315" w:type="dxa"/>
            <w:tcBorders/>
            <w:shd w:fill="CCEEFF" w:val="clear"/>
            <w:vAlign w:val="bottom"/>
          </w:tcPr>
          <w:p>
            <w:pPr>
              <w:pStyle w:val="TableContents"/>
              <w:bidi w:val="0"/>
              <w:spacing w:lineRule="auto" w:line="240" w:before="0" w:after="0"/>
              <w:jc w:val="left"/>
              <w:rPr>
                <w:b/>
              </w:rPr>
            </w:pPr>
            <w:r>
              <w:rPr>
                <w:b/>
              </w:rPr>
              <w:t>Income tax benefit(1)</w:t>
            </w:r>
          </w:p>
        </w:tc>
        <w:tc>
          <w:tcPr>
            <w:tcW w:w="9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2,805</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1,922</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1,333</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615</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jc w:val="left"/>
              <w:rPr>
                <w:b/>
              </w:rPr>
            </w:pPr>
            <w:r>
              <w:rPr>
                <w:b/>
              </w:rPr>
              <w:t>Equity in undistributed earnings of subsidiaries, net</w:t>
            </w:r>
          </w:p>
        </w:tc>
        <w:tc>
          <w:tcPr>
            <w:tcW w:w="9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283"/>
              <w:jc w:val="right"/>
              <w:rPr/>
            </w:pPr>
            <w:r>
              <w:rPr/>
              <w:t>4,684</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(2,008</w:t>
            </w:r>
          </w:p>
        </w:tc>
        <w:tc>
          <w:tcPr>
            <w:tcW w:w="170" w:type="dxa"/>
            <w:tcBorders/>
            <w:shd w:fill="CCEEFF" w:val="clear"/>
            <w:vAlign w:val="bottom"/>
          </w:tcPr>
          <w:p>
            <w:pPr>
              <w:pStyle w:val="TableContents"/>
              <w:bidi w:val="0"/>
              <w:spacing w:before="0" w:after="0"/>
              <w:jc w:val="left"/>
              <w:rPr/>
            </w:pPr>
            <w:r>
              <w:rPr/>
              <w:t>)</w:t>
            </w:r>
          </w:p>
        </w:tc>
      </w:tr>
      <w:tr>
        <w:trPr/>
        <w:tc>
          <w:tcPr>
            <w:tcW w:w="5315" w:type="dxa"/>
            <w:tcBorders/>
            <w:vAlign w:val="bottom"/>
          </w:tcPr>
          <w:p>
            <w:pPr>
              <w:pStyle w:val="TableContents"/>
              <w:bidi w:val="0"/>
              <w:spacing w:before="0" w:after="0"/>
              <w:ind w:left="180" w:right="0" w:hanging="0"/>
              <w:jc w:val="left"/>
              <w:rPr>
                <w:b/>
              </w:rPr>
            </w:pPr>
            <w:r>
              <w:rPr>
                <w:b/>
              </w:rPr>
              <w:t>Net income (loss)</w:t>
            </w:r>
          </w:p>
        </w:tc>
        <w:tc>
          <w:tcPr>
            <w:tcW w:w="90" w:type="dxa"/>
            <w:tcBorders/>
            <w:vAlign w:val="bottom"/>
          </w:tcPr>
          <w:p>
            <w:pPr>
              <w:pStyle w:val="TableContents"/>
              <w:bidi w:val="0"/>
              <w:spacing w:before="0" w:after="283"/>
              <w:jc w:val="lef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pPr>
            <w:r>
              <w:rPr/>
              <w:t>$</w:t>
            </w:r>
          </w:p>
        </w:tc>
        <w:tc>
          <w:tcPr>
            <w:tcW w:w="988" w:type="dxa"/>
            <w:tcBorders>
              <w:bottom w:val="double" w:sz="8" w:space="0" w:color="000000"/>
            </w:tcBorders>
            <w:tcMar>
              <w:bottom w:w="28" w:type="dxa"/>
            </w:tcMar>
            <w:vAlign w:val="bottom"/>
          </w:tcPr>
          <w:p>
            <w:pPr>
              <w:pStyle w:val="TableContents"/>
              <w:bidi w:val="0"/>
              <w:spacing w:before="0" w:after="0"/>
              <w:jc w:val="right"/>
              <w:rPr/>
            </w:pPr>
            <w:r>
              <w:rPr/>
              <w:t>6,017</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pPr>
            <w:r>
              <w:rPr/>
              <w:t>$</w:t>
            </w:r>
          </w:p>
        </w:tc>
        <w:tc>
          <w:tcPr>
            <w:tcW w:w="988" w:type="dxa"/>
            <w:tcBorders>
              <w:bottom w:val="double" w:sz="8" w:space="0" w:color="000000"/>
            </w:tcBorders>
            <w:tcMar>
              <w:bottom w:w="28" w:type="dxa"/>
            </w:tcMar>
            <w:vAlign w:val="bottom"/>
          </w:tcPr>
          <w:p>
            <w:pPr>
              <w:pStyle w:val="TableContents"/>
              <w:bidi w:val="0"/>
              <w:spacing w:before="0" w:after="0"/>
              <w:jc w:val="right"/>
              <w:rPr/>
            </w:pPr>
            <w:r>
              <w:rPr/>
              <w:t>(1,393</w:t>
            </w:r>
          </w:p>
        </w:tc>
        <w:tc>
          <w:tcPr>
            <w:tcW w:w="17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(1) Under the terms of a tax-sharing agreement, income tax provisions for the subsidiary companies are computed on a separate company basis. Accordingly, the Company’s income tax benefit results from the utilization of the Parent’s separate return loss to reduce the consolidated taxable income of the Company.</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Schedule II</w:t>
      </w:r>
    </w:p>
    <w:p>
      <w:pPr>
        <w:pStyle w:val="TextBody"/>
        <w:bidi w:val="0"/>
        <w:spacing w:before="0" w:after="0"/>
        <w:jc w:val="right"/>
        <w:rPr>
          <w:rFonts w:ascii="Times New Roman" w:hAnsi="Times New Roman"/>
          <w:b/>
          <w:sz w:val="20"/>
        </w:rPr>
      </w:pPr>
      <w:r>
        <w:rPr>
          <w:rFonts w:ascii="Times New Roman" w:hAnsi="Times New Roman"/>
          <w:b/>
          <w:sz w:val="20"/>
        </w:rPr>
        <w:t>Page 3 of 3</w:t>
      </w:r>
    </w:p>
    <w:p>
      <w:pPr>
        <w:pStyle w:val="TextBody"/>
        <w:bidi w:val="0"/>
        <w:spacing w:before="0" w:after="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CONDENSED FINANCIAL INFORMATION OF REGISTRANT</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(Parent Company Only)</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STATEMENTS OF CASH FLOWS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92" w:name="z3b6ebf3bed244b8c984e0a70212fd1f1"/>
      <w:bookmarkStart w:id="393" w:name="z3b6ebf3bed244b8c984e0a70212fd1f1"/>
      <w:bookmarkEnd w:id="393"/>
    </w:p>
    <w:tbl>
      <w:tblPr>
        <w:tblW w:w="10205" w:type="dxa"/>
        <w:jc w:val="left"/>
        <w:tblInd w:w="0" w:type="dxa"/>
        <w:tblLayout w:type="fixed"/>
        <w:tblCellMar>
          <w:top w:w="0" w:type="dxa"/>
          <w:left w:w="0" w:type="dxa"/>
          <w:bottom w:w="0" w:type="dxa"/>
          <w:right w:w="0" w:type="dxa"/>
        </w:tblCellMar>
      </w:tblPr>
      <w:tblGrid>
        <w:gridCol w:w="7269"/>
        <w:gridCol w:w="90"/>
        <w:gridCol w:w="234"/>
        <w:gridCol w:w="916"/>
        <w:gridCol w:w="172"/>
        <w:gridCol w:w="123"/>
        <w:gridCol w:w="248"/>
        <w:gridCol w:w="920"/>
        <w:gridCol w:w="233"/>
      </w:tblGrid>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13"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center"/>
              <w:rPr/>
            </w:pPr>
            <w:r>
              <w:rPr/>
              <w:t>(Restated)</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13" w:type="dxa"/>
            <w:gridSpan w:val="6"/>
            <w:tcBorders/>
            <w:vAlign w:val="bottom"/>
          </w:tcPr>
          <w:p>
            <w:pPr>
              <w:pStyle w:val="TableContents"/>
              <w:bidi w:val="0"/>
              <w:spacing w:before="0" w:after="283"/>
              <w:jc w:val="center"/>
              <w:rPr/>
            </w:pPr>
            <w:r>
              <w:rPr/>
              <w:t>(In thousands)</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180" w:right="0" w:hanging="180"/>
              <w:jc w:val="left"/>
              <w:rPr>
                <w:b/>
              </w:rPr>
            </w:pPr>
            <w:r>
              <w:rPr>
                <w:b/>
              </w:rPr>
              <w:t>Cash flows from operating activities:</w:t>
            </w:r>
          </w:p>
        </w:tc>
        <w:tc>
          <w:tcPr>
            <w:tcW w:w="9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0"/>
              <w:jc w:val="left"/>
              <w:rPr/>
            </w:pPr>
            <w:r>
              <w:rPr/>
              <w:t>$</w:t>
            </w:r>
          </w:p>
        </w:tc>
        <w:tc>
          <w:tcPr>
            <w:tcW w:w="916" w:type="dxa"/>
            <w:tcBorders/>
            <w:shd w:fill="CCEEFF" w:val="clear"/>
            <w:vAlign w:val="bottom"/>
          </w:tcPr>
          <w:p>
            <w:pPr>
              <w:pStyle w:val="TableContents"/>
              <w:bidi w:val="0"/>
              <w:spacing w:before="0" w:after="0"/>
              <w:jc w:val="right"/>
              <w:rPr/>
            </w:pPr>
            <w:r>
              <w:rPr/>
              <w:t>6,017</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920" w:type="dxa"/>
            <w:tcBorders/>
            <w:shd w:fill="CCEEFF" w:val="clear"/>
            <w:vAlign w:val="bottom"/>
          </w:tcPr>
          <w:p>
            <w:pPr>
              <w:pStyle w:val="TableContents"/>
              <w:bidi w:val="0"/>
              <w:spacing w:before="0" w:after="0"/>
              <w:jc w:val="right"/>
              <w:rPr/>
            </w:pPr>
            <w:r>
              <w:rPr/>
              <w:t>(1,393</w:t>
            </w:r>
          </w:p>
        </w:tc>
        <w:tc>
          <w:tcPr>
            <w:tcW w:w="233" w:type="dxa"/>
            <w:tcBorders/>
            <w:shd w:fill="CCEEFF" w:val="clear"/>
            <w:vAlign w:val="bottom"/>
          </w:tcPr>
          <w:p>
            <w:pPr>
              <w:pStyle w:val="TableContents"/>
              <w:bidi w:val="0"/>
              <w:spacing w:before="0" w:after="0"/>
              <w:jc w:val="left"/>
              <w:rPr/>
            </w:pPr>
            <w:r>
              <w:rPr/>
              <w:t>)</w:t>
            </w:r>
          </w:p>
        </w:tc>
      </w:tr>
      <w:tr>
        <w:trPr/>
        <w:tc>
          <w:tcPr>
            <w:tcW w:w="7269" w:type="dxa"/>
            <w:tcBorders/>
            <w:vAlign w:val="bottom"/>
          </w:tcPr>
          <w:p>
            <w:pPr>
              <w:pStyle w:val="TableContents"/>
              <w:bidi w:val="0"/>
              <w:spacing w:before="0" w:after="0"/>
              <w:ind w:left="360" w:right="0" w:hanging="180"/>
              <w:jc w:val="left"/>
              <w:rPr/>
            </w:pPr>
            <w:r>
              <w:rPr/>
              <w:t>Adjustments to reconcile net income to net cash (used in) provided by operating activities:</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540" w:right="0" w:hanging="180"/>
              <w:jc w:val="left"/>
              <w:rPr/>
            </w:pPr>
            <w:r>
              <w:rPr/>
              <w:t>Unrealized (gains) losses on equity securities, net</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(168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187</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Depreciation and amortization</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89</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190</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540" w:right="0" w:hanging="180"/>
              <w:jc w:val="left"/>
              <w:rPr/>
            </w:pPr>
            <w:r>
              <w:rPr/>
              <w:t>Compensation expense related to share awards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11</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(Deficit) equity in undistributed earnings of consolidated subsidiaries</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(4,684</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2,008</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540" w:right="0" w:hanging="180"/>
              <w:jc w:val="left"/>
              <w:rPr/>
            </w:pPr>
            <w:r>
              <w:rPr/>
              <w:t>(Increase) decrease in intercompany taxes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(2,180</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1,330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Deferred income tax (benefit) expense</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(413</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(3,290</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540" w:right="0" w:hanging="180"/>
              <w:jc w:val="left"/>
              <w:rPr/>
            </w:pPr>
            <w:r>
              <w:rPr/>
              <w:t>(Increase) decrease in accounts payable and accrued expenses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3,303</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Other, net</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(366</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bottom w:val="single" w:sz="6" w:space="0" w:color="000000"/>
            </w:tcBorders>
            <w:tcMar>
              <w:bottom w:w="28" w:type="dxa"/>
            </w:tcMar>
            <w:vAlign w:val="bottom"/>
          </w:tcPr>
          <w:p>
            <w:pPr>
              <w:pStyle w:val="TableContents"/>
              <w:bidi w:val="0"/>
              <w:spacing w:before="0" w:after="283"/>
              <w:jc w:val="left"/>
              <w:rPr/>
            </w:pPr>
            <w:r>
              <w:rPr/>
              <w:t> </w:t>
            </w:r>
          </w:p>
        </w:tc>
        <w:tc>
          <w:tcPr>
            <w:tcW w:w="920" w:type="dxa"/>
            <w:tcBorders>
              <w:bottom w:val="single" w:sz="6" w:space="0" w:color="000000"/>
            </w:tcBorders>
            <w:tcMar>
              <w:bottom w:w="28" w:type="dxa"/>
            </w:tcMar>
            <w:vAlign w:val="bottom"/>
          </w:tcPr>
          <w:p>
            <w:pPr>
              <w:pStyle w:val="TableContents"/>
              <w:bidi w:val="0"/>
              <w:spacing w:before="0" w:after="283"/>
              <w:jc w:val="right"/>
              <w:rPr/>
            </w:pPr>
            <w:r>
              <w:rPr/>
              <w:t>(1,336</w:t>
            </w:r>
          </w:p>
        </w:tc>
        <w:tc>
          <w:tcPr>
            <w:tcW w:w="233" w:type="dxa"/>
            <w:tcBorders>
              <w:bottom w:val="single" w:sz="6" w:space="0" w:color="000000"/>
            </w:tcBorders>
            <w:tcMar>
              <w:bottom w:w="30" w:type="dxa"/>
            </w:tcMar>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Net cash (used in) provided by operating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pPr>
            <w:r>
              <w:rPr/>
              <w:t>(1,711</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pPr>
            <w:r>
              <w:rPr/>
              <w:t>1,010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Cash flows from investing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Additions to property and equipment</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(198</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(53</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360" w:right="0" w:hanging="180"/>
              <w:jc w:val="left"/>
              <w:rPr/>
            </w:pPr>
            <w:r>
              <w:rPr/>
              <w:t>Net cash used in investing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pPr>
            <w:r>
              <w:rPr/>
              <w:t>(198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pPr>
            <w:r>
              <w:rPr/>
              <w:t>(53</w:t>
            </w:r>
          </w:p>
        </w:tc>
        <w:tc>
          <w:tcPr>
            <w:tcW w:w="233" w:type="dxa"/>
            <w:tcBorders/>
            <w:shd w:fill="CCEEFF" w:val="clear"/>
            <w:vAlign w:val="bottom"/>
          </w:tcPr>
          <w:p>
            <w:pPr>
              <w:pStyle w:val="TableContents"/>
              <w:bidi w:val="0"/>
              <w:spacing w:before="0" w:after="0"/>
              <w:jc w:val="left"/>
              <w:rPr/>
            </w:pPr>
            <w:r>
              <w:rPr/>
              <w:t>)</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Cash flows from financing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Payment of dividends on Series D preferred stock</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(399</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(399</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360" w:right="0" w:hanging="180"/>
              <w:jc w:val="left"/>
              <w:rPr/>
            </w:pPr>
            <w:r>
              <w:rPr/>
              <w:t>Payment of dividends on common stock</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(408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(408</w:t>
            </w:r>
          </w:p>
        </w:tc>
        <w:tc>
          <w:tcPr>
            <w:tcW w:w="233" w:type="dxa"/>
            <w:tcBorders/>
            <w:shd w:fill="CCEEFF" w:val="clear"/>
            <w:vAlign w:val="bottom"/>
          </w:tcPr>
          <w:p>
            <w:pPr>
              <w:pStyle w:val="TableContents"/>
              <w:bidi w:val="0"/>
              <w:spacing w:before="0" w:after="0"/>
              <w:jc w:val="left"/>
              <w:rPr/>
            </w:pPr>
            <w:r>
              <w:rPr/>
              <w:t>)</w:t>
            </w:r>
          </w:p>
        </w:tc>
      </w:tr>
      <w:tr>
        <w:trPr/>
        <w:tc>
          <w:tcPr>
            <w:tcW w:w="7269" w:type="dxa"/>
            <w:tcBorders/>
            <w:vAlign w:val="bottom"/>
          </w:tcPr>
          <w:p>
            <w:pPr>
              <w:pStyle w:val="TableContents"/>
              <w:bidi w:val="0"/>
              <w:spacing w:before="0" w:after="0"/>
              <w:ind w:left="360" w:right="0" w:hanging="180"/>
              <w:jc w:val="left"/>
              <w:rPr/>
            </w:pPr>
            <w:r>
              <w:rPr/>
              <w:t>Proceeds from shares issued under stock plans</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Proceeds from revolving credit facility, net</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1,000</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1,000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Treasury stock acquired — net employee share-based compensation</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(4</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(7</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360" w:right="0" w:hanging="180"/>
              <w:jc w:val="left"/>
              <w:rPr/>
            </w:pPr>
            <w:r>
              <w:rPr/>
              <w:t>Net cash provided by financing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pPr>
            <w:r>
              <w:rPr/>
              <w:t>189</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pPr>
            <w:r>
              <w:rPr/>
              <w:t>186</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Net increase in cash</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(1,720</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1,143</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Cash and cash equivalents at beginning of year</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3,916</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2,773</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Cash and cash equivalents at end of year</w:t>
            </w:r>
          </w:p>
        </w:tc>
        <w:tc>
          <w:tcPr>
            <w:tcW w:w="90"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2,196</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pPr>
            <w:r>
              <w:rPr/>
              <w:t>3,916</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Supplemental disclosure:</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Cash paid for interest</w:t>
            </w:r>
          </w:p>
        </w:tc>
        <w:tc>
          <w:tcPr>
            <w:tcW w:w="90" w:type="dxa"/>
            <w:tcBorders/>
            <w:vAlign w:val="bottom"/>
          </w:tcPr>
          <w:p>
            <w:pPr>
              <w:pStyle w:val="TableContents"/>
              <w:bidi w:val="0"/>
              <w:spacing w:before="0" w:after="283"/>
              <w:jc w:val="left"/>
              <w:rPr/>
            </w:pPr>
            <w:r>
              <w:rPr/>
              <w:t> </w:t>
            </w:r>
          </w:p>
        </w:tc>
        <w:tc>
          <w:tcPr>
            <w:tcW w:w="234" w:type="dxa"/>
            <w:tcBorders>
              <w:bottom w:val="double" w:sz="8" w:space="0" w:color="000000"/>
            </w:tcBorders>
            <w:tcMar>
              <w:bottom w:w="28" w:type="dxa"/>
            </w:tcMar>
            <w:vAlign w:val="bottom"/>
          </w:tcPr>
          <w:p>
            <w:pPr>
              <w:pStyle w:val="TableContents"/>
              <w:bidi w:val="0"/>
              <w:spacing w:before="0" w:after="0"/>
              <w:jc w:val="left"/>
              <w:rPr/>
            </w:pPr>
            <w:r>
              <w:rPr/>
              <w:t>$</w:t>
            </w:r>
          </w:p>
        </w:tc>
        <w:tc>
          <w:tcPr>
            <w:tcW w:w="916" w:type="dxa"/>
            <w:tcBorders>
              <w:bottom w:val="double" w:sz="8" w:space="0" w:color="000000"/>
            </w:tcBorders>
            <w:tcMar>
              <w:bottom w:w="28" w:type="dxa"/>
            </w:tcMar>
            <w:vAlign w:val="bottom"/>
          </w:tcPr>
          <w:p>
            <w:pPr>
              <w:pStyle w:val="TableContents"/>
              <w:bidi w:val="0"/>
              <w:spacing w:before="0" w:after="0"/>
              <w:jc w:val="right"/>
              <w:rPr/>
            </w:pPr>
            <w:r>
              <w:rPr/>
              <w:t>3,106</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bottom w:val="double" w:sz="8" w:space="0" w:color="000000"/>
            </w:tcBorders>
            <w:tcMar>
              <w:bottom w:w="28" w:type="dxa"/>
            </w:tcMar>
            <w:vAlign w:val="bottom"/>
          </w:tcPr>
          <w:p>
            <w:pPr>
              <w:pStyle w:val="TableContents"/>
              <w:bidi w:val="0"/>
              <w:spacing w:before="0" w:after="0"/>
              <w:jc w:val="left"/>
              <w:rPr/>
            </w:pPr>
            <w:r>
              <w:rPr/>
              <w:t>$</w:t>
            </w:r>
          </w:p>
        </w:tc>
        <w:tc>
          <w:tcPr>
            <w:tcW w:w="920" w:type="dxa"/>
            <w:tcBorders>
              <w:bottom w:val="double" w:sz="8" w:space="0" w:color="000000"/>
            </w:tcBorders>
            <w:tcMar>
              <w:bottom w:w="28" w:type="dxa"/>
            </w:tcMar>
            <w:vAlign w:val="bottom"/>
          </w:tcPr>
          <w:p>
            <w:pPr>
              <w:pStyle w:val="TableContents"/>
              <w:bidi w:val="0"/>
              <w:spacing w:before="0" w:after="0"/>
              <w:jc w:val="right"/>
              <w:rPr/>
            </w:pPr>
            <w:r>
              <w:rPr/>
              <w:t>3,445</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Cash paid for federal income taxes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1,652</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pPr>
            <w:r>
              <w:rPr/>
              <w:t>580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Cash paid for state income taxes</w:t>
            </w:r>
          </w:p>
        </w:tc>
        <w:tc>
          <w:tcPr>
            <w:tcW w:w="90" w:type="dxa"/>
            <w:tcBorders/>
            <w:vAlign w:val="bottom"/>
          </w:tcPr>
          <w:p>
            <w:pPr>
              <w:pStyle w:val="TableContents"/>
              <w:bidi w:val="0"/>
              <w:spacing w:before="0" w:after="283"/>
              <w:jc w:val="left"/>
              <w:rPr/>
            </w:pPr>
            <w:r>
              <w:rPr/>
              <w:t> </w:t>
            </w:r>
          </w:p>
        </w:tc>
        <w:tc>
          <w:tcPr>
            <w:tcW w:w="234" w:type="dxa"/>
            <w:tcBorders>
              <w:bottom w:val="double" w:sz="8" w:space="0" w:color="000000"/>
            </w:tcBorders>
            <w:tcMar>
              <w:bottom w:w="28" w:type="dxa"/>
            </w:tcMar>
            <w:vAlign w:val="bottom"/>
          </w:tcPr>
          <w:p>
            <w:pPr>
              <w:pStyle w:val="TableContents"/>
              <w:bidi w:val="0"/>
              <w:spacing w:before="0" w:after="0"/>
              <w:jc w:val="left"/>
              <w:rPr/>
            </w:pPr>
            <w:r>
              <w:rPr/>
              <w:t>$</w:t>
            </w:r>
          </w:p>
        </w:tc>
        <w:tc>
          <w:tcPr>
            <w:tcW w:w="916" w:type="dxa"/>
            <w:tcBorders>
              <w:bottom w:val="double" w:sz="8" w:space="0" w:color="000000"/>
            </w:tcBorders>
            <w:tcMar>
              <w:bottom w:w="28" w:type="dxa"/>
            </w:tcMar>
            <w:vAlign w:val="bottom"/>
          </w:tcPr>
          <w:p>
            <w:pPr>
              <w:pStyle w:val="TableContents"/>
              <w:bidi w:val="0"/>
              <w:spacing w:before="0" w:after="0"/>
              <w:jc w:val="right"/>
              <w:rPr/>
            </w:pPr>
            <w:r>
              <w:rPr/>
              <w:t>187</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bottom w:val="double" w:sz="8" w:space="0" w:color="000000"/>
            </w:tcBorders>
            <w:tcMar>
              <w:bottom w:w="28" w:type="dxa"/>
            </w:tcMar>
            <w:vAlign w:val="bottom"/>
          </w:tcPr>
          <w:p>
            <w:pPr>
              <w:pStyle w:val="TableContents"/>
              <w:bidi w:val="0"/>
              <w:spacing w:before="0" w:after="0"/>
              <w:jc w:val="left"/>
              <w:rPr/>
            </w:pPr>
            <w:r>
              <w:rPr/>
              <w:t>$</w:t>
            </w:r>
          </w:p>
        </w:tc>
        <w:tc>
          <w:tcPr>
            <w:tcW w:w="920" w:type="dxa"/>
            <w:tcBorders>
              <w:bottom w:val="double" w:sz="8" w:space="0" w:color="000000"/>
            </w:tcBorders>
            <w:tcMar>
              <w:bottom w:w="28" w:type="dxa"/>
            </w:tcMar>
            <w:vAlign w:val="bottom"/>
          </w:tcPr>
          <w:p>
            <w:pPr>
              <w:pStyle w:val="TableContents"/>
              <w:bidi w:val="0"/>
              <w:spacing w:before="0" w:after="0"/>
              <w:jc w:val="right"/>
              <w:rPr/>
            </w:pPr>
            <w:r>
              <w:rPr/>
              <w:t>213</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Intercompany tax settlement from subsidiaries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1,319</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pPr>
            <w:r>
              <w:rPr/>
              <w:t>4,352</w:t>
            </w:r>
          </w:p>
        </w:tc>
        <w:tc>
          <w:tcPr>
            <w:tcW w:w="233"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94" w:name="ScheduleIII"/>
      <w:bookmarkEnd w:id="394"/>
      <w:r>
        <w:rPr>
          <w:rFonts w:ascii="Times New Roman" w:hAnsi="Times New Roman"/>
          <w:b/>
          <w:sz w:val="20"/>
        </w:rPr>
        <w:t>Schedule III</w:t>
      </w:r>
    </w:p>
    <w:p>
      <w:pPr>
        <w:pStyle w:val="TextBody"/>
        <w:bidi w:val="0"/>
        <w:spacing w:before="0" w:after="0"/>
        <w:jc w:val="right"/>
        <w:rPr>
          <w:rFonts w:ascii="Times New Roman" w:hAnsi="Times New Roman"/>
          <w:b/>
          <w:sz w:val="20"/>
        </w:rPr>
      </w:pPr>
      <w:r>
        <w:rPr>
          <w:rFonts w:ascii="Times New Roman" w:hAnsi="Times New Roman"/>
          <w:b/>
          <w:sz w:val="20"/>
        </w:rPr>
        <w:t>Page 1 of 2</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SUPPLEMENTARY INSURANCE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5" w:name="z1aba9dc0a18a43a199d5dcd316172626"/>
      <w:bookmarkStart w:id="396" w:name="z1aba9dc0a18a43a199d5dcd316172626"/>
      <w:bookmarkEnd w:id="396"/>
    </w:p>
    <w:tbl>
      <w:tblPr>
        <w:tblW w:w="9088" w:type="dxa"/>
        <w:jc w:val="left"/>
        <w:tblInd w:w="0" w:type="dxa"/>
        <w:tblLayout w:type="fixed"/>
        <w:tblCellMar>
          <w:top w:w="0" w:type="dxa"/>
          <w:left w:w="0" w:type="dxa"/>
          <w:bottom w:w="28" w:type="dxa"/>
          <w:right w:w="0" w:type="dxa"/>
        </w:tblCellMar>
      </w:tblPr>
      <w:tblGrid>
        <w:gridCol w:w="3005"/>
        <w:gridCol w:w="90"/>
        <w:gridCol w:w="232"/>
        <w:gridCol w:w="973"/>
        <w:gridCol w:w="90"/>
        <w:gridCol w:w="90"/>
        <w:gridCol w:w="243"/>
        <w:gridCol w:w="1186"/>
        <w:gridCol w:w="380"/>
        <w:gridCol w:w="90"/>
        <w:gridCol w:w="209"/>
        <w:gridCol w:w="876"/>
        <w:gridCol w:w="90"/>
        <w:gridCol w:w="90"/>
        <w:gridCol w:w="295"/>
        <w:gridCol w:w="1029"/>
        <w:gridCol w:w="120"/>
      </w:tblGrid>
      <w:tr>
        <w:trPr/>
        <w:tc>
          <w:tcPr>
            <w:tcW w:w="3005" w:type="dxa"/>
            <w:tcBorders>
              <w:bottom w:val="single" w:sz="12" w:space="0" w:color="000000"/>
            </w:tcBorders>
            <w:vAlign w:val="center"/>
          </w:tcPr>
          <w:p>
            <w:pPr>
              <w:pStyle w:val="TableContents"/>
              <w:bidi w:val="0"/>
              <w:spacing w:before="0" w:after="0"/>
              <w:jc w:val="left"/>
              <w:rPr>
                <w:b/>
              </w:rPr>
            </w:pPr>
            <w:r>
              <w:rPr>
                <w:b/>
              </w:rPr>
              <w:t>Segment</w:t>
            </w:r>
          </w:p>
        </w:tc>
        <w:tc>
          <w:tcPr>
            <w:tcW w:w="90" w:type="dxa"/>
            <w:tcBorders/>
            <w:tcMar>
              <w:bottom w:w="0" w:type="dxa"/>
            </w:tcMar>
            <w:vAlign w:val="center"/>
          </w:tcPr>
          <w:p>
            <w:pPr>
              <w:pStyle w:val="TableContents"/>
              <w:bidi w:val="0"/>
              <w:spacing w:before="0" w:after="283"/>
              <w:jc w:val="center"/>
              <w:rPr/>
            </w:pPr>
            <w:r>
              <w:rPr/>
              <w:t> </w:t>
            </w:r>
          </w:p>
        </w:tc>
        <w:tc>
          <w:tcPr>
            <w:tcW w:w="1205" w:type="dxa"/>
            <w:gridSpan w:val="2"/>
            <w:tcBorders>
              <w:bottom w:val="single" w:sz="12" w:space="0" w:color="000000"/>
            </w:tcBorders>
            <w:vAlign w:val="center"/>
          </w:tcPr>
          <w:p>
            <w:pPr>
              <w:pStyle w:val="TableContents"/>
              <w:bidi w:val="0"/>
              <w:spacing w:before="0" w:after="0"/>
              <w:jc w:val="center"/>
              <w:rPr>
                <w:b/>
              </w:rPr>
            </w:pPr>
            <w:r>
              <w:rPr>
                <w:b/>
              </w:rPr>
              <w:t>Deferred</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29" w:type="dxa"/>
            <w:gridSpan w:val="2"/>
            <w:tcBorders>
              <w:bottom w:val="single" w:sz="12" w:space="0" w:color="000000"/>
            </w:tcBorders>
            <w:vAlign w:val="center"/>
          </w:tcPr>
          <w:p>
            <w:pPr>
              <w:pStyle w:val="TableContents"/>
              <w:bidi w:val="0"/>
              <w:spacing w:before="0" w:after="0"/>
              <w:jc w:val="center"/>
              <w:rPr>
                <w:b/>
              </w:rPr>
            </w:pPr>
            <w:r>
              <w:rPr>
                <w:b/>
              </w:rPr>
              <w:t>Future Policy</w:t>
            </w:r>
          </w:p>
          <w:p>
            <w:pPr>
              <w:pStyle w:val="TableContents"/>
              <w:bidi w:val="0"/>
              <w:spacing w:before="0" w:after="0"/>
              <w:jc w:val="center"/>
              <w:rPr>
                <w:b/>
              </w:rPr>
            </w:pPr>
            <w:r>
              <w:rPr>
                <w:b/>
              </w:rPr>
              <w:t>Benefits,</w:t>
            </w:r>
          </w:p>
          <w:p>
            <w:pPr>
              <w:pStyle w:val="TableContents"/>
              <w:bidi w:val="0"/>
              <w:spacing w:before="0" w:after="0"/>
              <w:jc w:val="center"/>
              <w:rPr>
                <w:b/>
              </w:rPr>
            </w:pPr>
            <w:r>
              <w:rPr>
                <w:b/>
              </w:rPr>
              <w:t>Losses,</w:t>
            </w:r>
          </w:p>
          <w:p>
            <w:pPr>
              <w:pStyle w:val="TableContents"/>
              <w:bidi w:val="0"/>
              <w:spacing w:before="0" w:after="0"/>
              <w:jc w:val="center"/>
              <w:rPr>
                <w:b/>
              </w:rPr>
            </w:pPr>
            <w:r>
              <w:rPr>
                <w:b/>
              </w:rPr>
              <w:t>Claims and</w:t>
            </w:r>
          </w:p>
          <w:p>
            <w:pPr>
              <w:pStyle w:val="TableContents"/>
              <w:bidi w:val="0"/>
              <w:spacing w:before="0" w:after="0"/>
              <w:jc w:val="center"/>
              <w:rPr>
                <w:b/>
              </w:rPr>
            </w:pPr>
            <w:r>
              <w:rPr>
                <w:b/>
              </w:rPr>
              <w:t>Loss</w:t>
            </w:r>
          </w:p>
          <w:p>
            <w:pPr>
              <w:pStyle w:val="TableContents"/>
              <w:bidi w:val="0"/>
              <w:spacing w:before="0" w:after="0"/>
              <w:jc w:val="center"/>
              <w:rPr>
                <w:b/>
              </w:rPr>
            </w:pPr>
            <w:r>
              <w:rPr>
                <w:b/>
              </w:rPr>
              <w:t>Reserves</w:t>
            </w:r>
          </w:p>
        </w:tc>
        <w:tc>
          <w:tcPr>
            <w:tcW w:w="3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0"/>
              <w:jc w:val="center"/>
              <w:rPr>
                <w:b/>
              </w:rPr>
            </w:pPr>
            <w:r>
              <w:rPr>
                <w:b/>
              </w:rPr>
              <w:t>Unearned</w:t>
            </w:r>
          </w:p>
          <w:p>
            <w:pPr>
              <w:pStyle w:val="TableContents"/>
              <w:bidi w:val="0"/>
              <w:spacing w:before="0" w:after="0"/>
              <w:jc w:val="center"/>
              <w:rPr>
                <w:b/>
              </w:rPr>
            </w:pPr>
            <w:r>
              <w:rPr>
                <w:b/>
              </w:rPr>
              <w:t>Premiums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324" w:type="dxa"/>
            <w:gridSpan w:val="2"/>
            <w:tcBorders>
              <w:bottom w:val="single" w:sz="12" w:space="0" w:color="000000"/>
            </w:tcBorders>
            <w:vAlign w:val="center"/>
          </w:tcPr>
          <w:p>
            <w:pPr>
              <w:pStyle w:val="TableContents"/>
              <w:bidi w:val="0"/>
              <w:spacing w:before="0" w:after="0"/>
              <w:jc w:val="center"/>
              <w:rPr>
                <w:b/>
              </w:rPr>
            </w:pPr>
            <w:r>
              <w:rPr>
                <w:b/>
              </w:rPr>
              <w:t>Other Policy</w:t>
            </w:r>
          </w:p>
          <w:p>
            <w:pPr>
              <w:pStyle w:val="TableContents"/>
              <w:bidi w:val="0"/>
              <w:spacing w:before="0" w:after="0"/>
              <w:jc w:val="center"/>
              <w:rPr>
                <w:b/>
              </w:rPr>
            </w:pPr>
            <w:r>
              <w:rPr>
                <w:b/>
              </w:rPr>
              <w:t>Claims and</w:t>
            </w:r>
          </w:p>
          <w:p>
            <w:pPr>
              <w:pStyle w:val="TableContents"/>
              <w:bidi w:val="0"/>
              <w:spacing w:before="0" w:after="0"/>
              <w:jc w:val="center"/>
              <w:rPr>
                <w:b/>
              </w:rPr>
            </w:pPr>
            <w:r>
              <w:rPr>
                <w:b/>
              </w:rPr>
              <w:t>Benefits</w:t>
            </w:r>
          </w:p>
          <w:p>
            <w:pPr>
              <w:pStyle w:val="TableContents"/>
              <w:bidi w:val="0"/>
              <w:spacing w:before="0" w:after="0"/>
              <w:jc w:val="center"/>
              <w:rPr>
                <w:b/>
              </w:rPr>
            </w:pPr>
            <w:r>
              <w:rPr>
                <w:b/>
              </w:rPr>
              <w:t>Payable</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5873" w:type="dxa"/>
            <w:gridSpan w:val="14"/>
            <w:tcBorders/>
            <w:tcMar>
              <w:bottom w:w="0" w:type="dxa"/>
            </w:tcMar>
            <w:vAlign w:val="bottom"/>
          </w:tcPr>
          <w:p>
            <w:pPr>
              <w:pStyle w:val="TableContents"/>
              <w:bidi w:val="0"/>
              <w:spacing w:before="0" w:after="0"/>
              <w:jc w:val="center"/>
              <w:rPr>
                <w:b/>
              </w:rPr>
            </w:pPr>
            <w:r>
              <w:rPr>
                <w:b/>
              </w:rPr>
              <w:t>(In thousands)</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left"/>
              <w:rPr/>
            </w:pPr>
            <w:r>
              <w:rPr/>
              <w:t>December 31, 2025:</w:t>
            </w:r>
          </w:p>
        </w:tc>
        <w:tc>
          <w:tcPr>
            <w:tcW w:w="90" w:type="dxa"/>
            <w:tcBorders/>
            <w:tcMar>
              <w:bottom w:w="0" w:type="dxa"/>
            </w:tcMar>
            <w:vAlign w:val="bottom"/>
          </w:tcPr>
          <w:p>
            <w:pPr>
              <w:pStyle w:val="TableContents"/>
              <w:bidi w:val="0"/>
              <w:spacing w:before="0" w:after="283"/>
              <w:jc w:val="left"/>
              <w:rPr/>
            </w:pPr>
            <w:r>
              <w:rPr/>
              <w:t> </w:t>
            </w:r>
          </w:p>
        </w:tc>
        <w:tc>
          <w:tcPr>
            <w:tcW w:w="120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429" w:type="dxa"/>
            <w:gridSpan w:val="2"/>
            <w:tcBorders/>
            <w:tcMar>
              <w:bottom w:w="0" w:type="dxa"/>
            </w:tcMar>
            <w:vAlign w:val="bottom"/>
          </w:tcPr>
          <w:p>
            <w:pPr>
              <w:pStyle w:val="TableContents"/>
              <w:bidi w:val="0"/>
              <w:spacing w:before="0" w:after="283"/>
              <w:jc w:val="left"/>
              <w:rPr/>
            </w:pPr>
            <w:r>
              <w:rPr/>
              <w:t> </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24"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360" w:right="0" w:hanging="180"/>
              <w:jc w:val="left"/>
              <w:rPr/>
            </w:pPr>
            <w:r>
              <w:rPr/>
              <w:t>Bankers Fidelity</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shd w:fill="CCEEFF" w:val="clear"/>
            <w:tcMar>
              <w:bottom w:w="0" w:type="dxa"/>
            </w:tcMar>
            <w:vAlign w:val="bottom"/>
          </w:tcPr>
          <w:p>
            <w:pPr>
              <w:pStyle w:val="TableContents"/>
              <w:bidi w:val="0"/>
              <w:spacing w:before="0" w:after="0"/>
              <w:jc w:val="left"/>
              <w:rPr/>
            </w:pPr>
            <w:r>
              <w:rPr/>
              <w:t>$</w:t>
            </w:r>
          </w:p>
        </w:tc>
        <w:tc>
          <w:tcPr>
            <w:tcW w:w="973" w:type="dxa"/>
            <w:tcBorders/>
            <w:shd w:fill="CCEEFF" w:val="clear"/>
            <w:tcMar>
              <w:bottom w:w="0" w:type="dxa"/>
            </w:tcMar>
            <w:vAlign w:val="bottom"/>
          </w:tcPr>
          <w:p>
            <w:pPr>
              <w:pStyle w:val="TableContents"/>
              <w:bidi w:val="0"/>
              <w:spacing w:before="0" w:after="0"/>
              <w:jc w:val="right"/>
              <w:rPr/>
            </w:pPr>
            <w:r>
              <w:rPr/>
              <w:t>39,563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shd w:fill="CCEEFF" w:val="clear"/>
            <w:tcMar>
              <w:bottom w:w="0" w:type="dxa"/>
            </w:tcMar>
            <w:vAlign w:val="bottom"/>
          </w:tcPr>
          <w:p>
            <w:pPr>
              <w:pStyle w:val="TableContents"/>
              <w:bidi w:val="0"/>
              <w:spacing w:before="0" w:after="0"/>
              <w:jc w:val="left"/>
              <w:rPr/>
            </w:pPr>
            <w:r>
              <w:rPr/>
              <w:t>$</w:t>
            </w:r>
          </w:p>
        </w:tc>
        <w:tc>
          <w:tcPr>
            <w:tcW w:w="1186" w:type="dxa"/>
            <w:tcBorders/>
            <w:shd w:fill="CCEEFF" w:val="clear"/>
            <w:tcMar>
              <w:bottom w:w="0" w:type="dxa"/>
            </w:tcMar>
            <w:vAlign w:val="bottom"/>
          </w:tcPr>
          <w:p>
            <w:pPr>
              <w:pStyle w:val="TableContents"/>
              <w:bidi w:val="0"/>
              <w:spacing w:before="0" w:after="0"/>
              <w:jc w:val="right"/>
              <w:rPr/>
            </w:pPr>
            <w:r>
              <w:rPr/>
              <w:t>115,737</w:t>
            </w:r>
          </w:p>
        </w:tc>
        <w:tc>
          <w:tcPr>
            <w:tcW w:w="38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shd w:fill="CCEEFF" w:val="clear"/>
            <w:tcMar>
              <w:bottom w:w="0" w:type="dxa"/>
            </w:tcMar>
            <w:vAlign w:val="bottom"/>
          </w:tcPr>
          <w:p>
            <w:pPr>
              <w:pStyle w:val="TableContents"/>
              <w:bidi w:val="0"/>
              <w:spacing w:before="0" w:after="0"/>
              <w:jc w:val="left"/>
              <w:rPr/>
            </w:pPr>
            <w:r>
              <w:rPr/>
              <w:t>$</w:t>
            </w:r>
          </w:p>
        </w:tc>
        <w:tc>
          <w:tcPr>
            <w:tcW w:w="1029" w:type="dxa"/>
            <w:tcBorders/>
            <w:shd w:fill="CCEEFF" w:val="clear"/>
            <w:tcMar>
              <w:bottom w:w="0" w:type="dxa"/>
            </w:tcMar>
            <w:vAlign w:val="bottom"/>
          </w:tcPr>
          <w:p>
            <w:pPr>
              <w:pStyle w:val="TableContents"/>
              <w:bidi w:val="0"/>
              <w:spacing w:before="0" w:after="0"/>
              <w:jc w:val="right"/>
              <w:rPr/>
            </w:pPr>
            <w:r>
              <w:rPr/>
              <w:t>7,573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360" w:right="0" w:hanging="180"/>
              <w:jc w:val="left"/>
              <w:rPr/>
            </w:pPr>
            <w:r>
              <w:rPr/>
              <w:t>American Southern</w:t>
            </w:r>
          </w:p>
        </w:tc>
        <w:tc>
          <w:tcPr>
            <w:tcW w:w="90" w:type="dxa"/>
            <w:tcBorders/>
            <w:tcMar>
              <w:bottom w:w="0" w:type="dxa"/>
            </w:tcMar>
            <w:vAlign w:val="bottom"/>
          </w:tcPr>
          <w:p>
            <w:pPr>
              <w:pStyle w:val="TableContents"/>
              <w:bidi w:val="0"/>
              <w:spacing w:before="0" w:after="283"/>
              <w:jc w:val="right"/>
              <w:rPr/>
            </w:pPr>
            <w:r>
              <w:rPr/>
              <w:t> </w:t>
            </w:r>
          </w:p>
        </w:tc>
        <w:tc>
          <w:tcPr>
            <w:tcW w:w="232" w:type="dxa"/>
            <w:tcBorders>
              <w:bottom w:val="single" w:sz="12" w:space="0" w:color="000000"/>
            </w:tcBorders>
            <w:vAlign w:val="bottom"/>
          </w:tcPr>
          <w:p>
            <w:pPr>
              <w:pStyle w:val="TableContents"/>
              <w:bidi w:val="0"/>
              <w:spacing w:before="0" w:after="283"/>
              <w:jc w:val="left"/>
              <w:rPr/>
            </w:pPr>
            <w:r>
              <w:rPr/>
              <w:t> </w:t>
            </w:r>
          </w:p>
        </w:tc>
        <w:tc>
          <w:tcPr>
            <w:tcW w:w="973" w:type="dxa"/>
            <w:tcBorders>
              <w:bottom w:val="single" w:sz="12" w:space="0" w:color="000000"/>
            </w:tcBorders>
            <w:vAlign w:val="bottom"/>
          </w:tcPr>
          <w:p>
            <w:pPr>
              <w:pStyle w:val="TableContents"/>
              <w:bidi w:val="0"/>
              <w:spacing w:before="0" w:after="0"/>
              <w:jc w:val="right"/>
              <w:rPr/>
            </w:pPr>
            <w:r>
              <w:rPr/>
              <w:t>2,755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bottom w:val="single" w:sz="12" w:space="0" w:color="000000"/>
            </w:tcBorders>
            <w:vAlign w:val="bottom"/>
          </w:tcPr>
          <w:p>
            <w:pPr>
              <w:pStyle w:val="TableContents"/>
              <w:bidi w:val="0"/>
              <w:spacing w:before="0" w:after="283"/>
              <w:jc w:val="left"/>
              <w:rPr/>
            </w:pPr>
            <w:r>
              <w:rPr/>
              <w:t> </w:t>
            </w:r>
          </w:p>
        </w:tc>
        <w:tc>
          <w:tcPr>
            <w:tcW w:w="1186" w:type="dxa"/>
            <w:tcBorders>
              <w:bottom w:val="single" w:sz="12" w:space="0" w:color="000000"/>
            </w:tcBorders>
            <w:vAlign w:val="bottom"/>
          </w:tcPr>
          <w:p>
            <w:pPr>
              <w:pStyle w:val="TableContents"/>
              <w:bidi w:val="0"/>
              <w:spacing w:before="0" w:after="0"/>
              <w:jc w:val="right"/>
              <w:rPr/>
            </w:pPr>
            <w:r>
              <w:rPr/>
              <w:t>82,818</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vAlign w:val="bottom"/>
          </w:tcPr>
          <w:p>
            <w:pPr>
              <w:pStyle w:val="TableContents"/>
              <w:bidi w:val="0"/>
              <w:spacing w:before="0" w:after="283"/>
              <w:jc w:val="left"/>
              <w:rPr/>
            </w:pPr>
            <w:r>
              <w:rPr/>
              <w:t> </w:t>
            </w:r>
          </w:p>
        </w:tc>
        <w:tc>
          <w:tcPr>
            <w:tcW w:w="876" w:type="dxa"/>
            <w:tcBorders>
              <w:bottom w:val="single" w:sz="12" w:space="0" w:color="000000"/>
            </w:tcBorders>
            <w:vAlign w:val="bottom"/>
          </w:tcPr>
          <w:p>
            <w:pPr>
              <w:pStyle w:val="TableContents"/>
              <w:bidi w:val="0"/>
              <w:spacing w:before="0" w:after="0"/>
              <w:jc w:val="right"/>
              <w:rPr/>
            </w:pPr>
            <w:r>
              <w:rPr/>
              <w:t>34,688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bottom w:val="single" w:sz="12" w:space="0" w:color="000000"/>
            </w:tcBorders>
            <w:vAlign w:val="bottom"/>
          </w:tcPr>
          <w:p>
            <w:pPr>
              <w:pStyle w:val="TableContents"/>
              <w:bidi w:val="0"/>
              <w:spacing w:before="0" w:after="283"/>
              <w:jc w:val="left"/>
              <w:rPr/>
            </w:pPr>
            <w:r>
              <w:rPr/>
              <w:t> </w:t>
            </w:r>
          </w:p>
        </w:tc>
        <w:tc>
          <w:tcPr>
            <w:tcW w:w="1029" w:type="dxa"/>
            <w:tcBorders>
              <w:bottom w:val="single" w:sz="12" w:space="0" w:color="000000"/>
            </w:tcBorders>
            <w:vAlign w:val="bottom"/>
          </w:tcPr>
          <w:p>
            <w:pPr>
              <w:pStyle w:val="TableContents"/>
              <w:bidi w:val="0"/>
              <w:spacing w:before="0" w:after="0"/>
              <w:jc w:val="right"/>
              <w:rPr/>
            </w:pPr>
            <w:r>
              <w:rPr/>
              <w:t>-</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bottom w:val="double" w:sz="8" w:space="0" w:color="000000"/>
            </w:tcBorders>
            <w:shd w:fill="CCEEFF" w:val="clear"/>
            <w:vAlign w:val="bottom"/>
          </w:tcPr>
          <w:p>
            <w:pPr>
              <w:pStyle w:val="TableContents"/>
              <w:bidi w:val="0"/>
              <w:spacing w:before="0" w:after="0"/>
              <w:jc w:val="left"/>
              <w:rPr/>
            </w:pPr>
            <w:r>
              <w:rPr/>
              <w:t>$</w:t>
            </w:r>
          </w:p>
        </w:tc>
        <w:tc>
          <w:tcPr>
            <w:tcW w:w="973" w:type="dxa"/>
            <w:tcBorders>
              <w:bottom w:val="double" w:sz="8" w:space="0" w:color="000000"/>
            </w:tcBorders>
            <w:shd w:fill="CCEEFF" w:val="clear"/>
            <w:vAlign w:val="bottom"/>
          </w:tcPr>
          <w:p>
            <w:pPr>
              <w:pStyle w:val="TableContents"/>
              <w:bidi w:val="0"/>
              <w:spacing w:before="0" w:after="0"/>
              <w:jc w:val="right"/>
              <w:rPr/>
            </w:pPr>
            <w:r>
              <w:rPr/>
              <w:t>42,318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bottom w:val="double" w:sz="8" w:space="0" w:color="000000"/>
            </w:tcBorders>
            <w:shd w:fill="CCEEFF" w:val="clear"/>
            <w:vAlign w:val="bottom"/>
          </w:tcPr>
          <w:p>
            <w:pPr>
              <w:pStyle w:val="TableContents"/>
              <w:bidi w:val="0"/>
              <w:spacing w:before="0" w:after="0"/>
              <w:jc w:val="left"/>
              <w:rPr/>
            </w:pPr>
            <w:r>
              <w:rPr/>
              <w:t>$</w:t>
            </w:r>
          </w:p>
        </w:tc>
        <w:tc>
          <w:tcPr>
            <w:tcW w:w="1186" w:type="dxa"/>
            <w:tcBorders>
              <w:bottom w:val="double" w:sz="8" w:space="0" w:color="000000"/>
            </w:tcBorders>
            <w:shd w:fill="CCEEFF" w:val="clear"/>
            <w:vAlign w:val="bottom"/>
          </w:tcPr>
          <w:p>
            <w:pPr>
              <w:pStyle w:val="TableContents"/>
              <w:bidi w:val="0"/>
              <w:spacing w:before="0" w:after="0"/>
              <w:jc w:val="right"/>
              <w:rPr/>
            </w:pPr>
            <w:r>
              <w:rPr/>
              <w:t>198,555</w:t>
            </w:r>
          </w:p>
        </w:tc>
        <w:tc>
          <w:tcPr>
            <w:tcW w:w="380" w:type="dxa"/>
            <w:tcBorders/>
            <w:shd w:fill="CCEEFF" w:val="clear"/>
            <w:tcMar>
              <w:bottom w:w="0" w:type="dxa"/>
            </w:tcMar>
            <w:vAlign w:val="bottom"/>
          </w:tcPr>
          <w:p>
            <w:pPr>
              <w:pStyle w:val="TableContents"/>
              <w:bidi w:val="0"/>
              <w:spacing w:lineRule="auto" w:line="240" w:before="0" w:after="0"/>
              <w:jc w:val="left"/>
              <w:rPr/>
            </w:pPr>
            <w:r>
              <w:rPr/>
              <w:t>(1)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bottom w:val="double" w:sz="8" w:space="0" w:color="000000"/>
            </w:tcBorders>
            <w:shd w:fill="CCEEFF" w:val="clear"/>
            <w:vAlign w:val="bottom"/>
          </w:tcPr>
          <w:p>
            <w:pPr>
              <w:pStyle w:val="TableContents"/>
              <w:bidi w:val="0"/>
              <w:spacing w:before="0" w:after="0"/>
              <w:jc w:val="left"/>
              <w:rPr/>
            </w:pPr>
            <w:r>
              <w:rPr/>
              <w:t>$</w:t>
            </w:r>
          </w:p>
        </w:tc>
        <w:tc>
          <w:tcPr>
            <w:tcW w:w="876" w:type="dxa"/>
            <w:tcBorders>
              <w:bottom w:val="double" w:sz="8" w:space="0" w:color="000000"/>
            </w:tcBorders>
            <w:shd w:fill="CCEEFF" w:val="clear"/>
            <w:vAlign w:val="bottom"/>
          </w:tcPr>
          <w:p>
            <w:pPr>
              <w:pStyle w:val="TableContents"/>
              <w:bidi w:val="0"/>
              <w:spacing w:before="0" w:after="0"/>
              <w:jc w:val="right"/>
              <w:rPr/>
            </w:pPr>
            <w:r>
              <w:rPr/>
              <w:t>34,737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bottom w:val="double" w:sz="8" w:space="0" w:color="000000"/>
            </w:tcBorders>
            <w:shd w:fill="CCEEFF" w:val="clear"/>
            <w:vAlign w:val="bottom"/>
          </w:tcPr>
          <w:p>
            <w:pPr>
              <w:pStyle w:val="TableContents"/>
              <w:bidi w:val="0"/>
              <w:spacing w:before="0" w:after="0"/>
              <w:jc w:val="left"/>
              <w:rPr/>
            </w:pPr>
            <w:r>
              <w:rPr/>
              <w:t>$</w:t>
            </w:r>
          </w:p>
        </w:tc>
        <w:tc>
          <w:tcPr>
            <w:tcW w:w="1029" w:type="dxa"/>
            <w:tcBorders>
              <w:bottom w:val="double" w:sz="8" w:space="0" w:color="000000"/>
            </w:tcBorders>
            <w:shd w:fill="CCEEFF" w:val="clear"/>
            <w:vAlign w:val="bottom"/>
          </w:tcPr>
          <w:p>
            <w:pPr>
              <w:pStyle w:val="TableContents"/>
              <w:bidi w:val="0"/>
              <w:spacing w:before="0" w:after="0"/>
              <w:jc w:val="right"/>
              <w:rPr/>
            </w:pPr>
            <w:r>
              <w:rPr/>
              <w:t>7,573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32" w:type="dxa"/>
            <w:tcBorders/>
            <w:tcMar>
              <w:bottom w:w="0" w:type="dxa"/>
            </w:tcMar>
            <w:vAlign w:val="bottom"/>
          </w:tcPr>
          <w:p>
            <w:pPr>
              <w:pStyle w:val="TableContents"/>
              <w:bidi w:val="0"/>
              <w:spacing w:before="0" w:after="283"/>
              <w:jc w:val="left"/>
              <w:rPr/>
            </w:pPr>
            <w:r>
              <w:rPr/>
              <w:t> </w:t>
            </w:r>
          </w:p>
        </w:tc>
        <w:tc>
          <w:tcPr>
            <w:tcW w:w="973"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tcMar>
              <w:bottom w:w="0" w:type="dxa"/>
            </w:tcMar>
            <w:vAlign w:val="bottom"/>
          </w:tcPr>
          <w:p>
            <w:pPr>
              <w:pStyle w:val="TableContents"/>
              <w:bidi w:val="0"/>
              <w:spacing w:before="0" w:after="283"/>
              <w:jc w:val="left"/>
              <w:rPr/>
            </w:pPr>
            <w:r>
              <w:rPr/>
              <w:t> </w:t>
            </w:r>
          </w:p>
        </w:tc>
        <w:tc>
          <w:tcPr>
            <w:tcW w:w="1186" w:type="dxa"/>
            <w:tcBorders/>
            <w:tcMar>
              <w:bottom w:w="0" w:type="dxa"/>
            </w:tcMar>
            <w:vAlign w:val="bottom"/>
          </w:tcPr>
          <w:p>
            <w:pPr>
              <w:pStyle w:val="TableContents"/>
              <w:bidi w:val="0"/>
              <w:spacing w:before="0" w:after="283"/>
              <w:jc w:val="right"/>
              <w:rPr/>
            </w:pPr>
            <w:r>
              <w:rPr/>
              <w:t> </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tcMar>
              <w:bottom w:w="0" w:type="dxa"/>
            </w:tcMar>
            <w:vAlign w:val="bottom"/>
          </w:tcPr>
          <w:p>
            <w:pPr>
              <w:pStyle w:val="TableContents"/>
              <w:bidi w:val="0"/>
              <w:spacing w:before="0" w:after="283"/>
              <w:jc w:val="left"/>
              <w:rPr/>
            </w:pPr>
            <w:r>
              <w:rPr/>
              <w:t> </w:t>
            </w:r>
          </w:p>
        </w:tc>
        <w:tc>
          <w:tcPr>
            <w:tcW w:w="1029" w:type="dxa"/>
            <w:tcBorders/>
            <w:tcMar>
              <w:bottom w:w="0" w:type="dxa"/>
            </w:tcMar>
            <w:vAlign w:val="bottom"/>
          </w:tcPr>
          <w:p>
            <w:pPr>
              <w:pStyle w:val="TableContents"/>
              <w:bidi w:val="0"/>
              <w:spacing w:before="0" w:after="283"/>
              <w:jc w:val="righ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left"/>
              <w:rPr/>
            </w:pPr>
            <w:r>
              <w:rPr/>
              <w:t>December 31, 2024 (Restated):</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shd w:fill="CCEEFF" w:val="clear"/>
            <w:tcMar>
              <w:bottom w:w="0" w:type="dxa"/>
            </w:tcMar>
            <w:vAlign w:val="bottom"/>
          </w:tcPr>
          <w:p>
            <w:pPr>
              <w:pStyle w:val="TableContents"/>
              <w:bidi w:val="0"/>
              <w:spacing w:before="0" w:after="283"/>
              <w:jc w:val="left"/>
              <w:rPr/>
            </w:pPr>
            <w:r>
              <w:rPr/>
              <w:t> </w:t>
            </w:r>
          </w:p>
        </w:tc>
        <w:tc>
          <w:tcPr>
            <w:tcW w:w="973"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shd w:fill="CCEEFF" w:val="clear"/>
            <w:tcMar>
              <w:bottom w:w="0" w:type="dxa"/>
            </w:tcMar>
            <w:vAlign w:val="bottom"/>
          </w:tcPr>
          <w:p>
            <w:pPr>
              <w:pStyle w:val="TableContents"/>
              <w:bidi w:val="0"/>
              <w:spacing w:before="0" w:after="283"/>
              <w:jc w:val="left"/>
              <w:rPr/>
            </w:pPr>
            <w:r>
              <w:rPr/>
              <w:t> </w:t>
            </w:r>
          </w:p>
        </w:tc>
        <w:tc>
          <w:tcPr>
            <w:tcW w:w="1186" w:type="dxa"/>
            <w:tcBorders/>
            <w:shd w:fill="CCEEFF" w:val="clear"/>
            <w:tcMar>
              <w:bottom w:w="0" w:type="dxa"/>
            </w:tcMar>
            <w:vAlign w:val="bottom"/>
          </w:tcPr>
          <w:p>
            <w:pPr>
              <w:pStyle w:val="TableContents"/>
              <w:bidi w:val="0"/>
              <w:spacing w:before="0" w:after="283"/>
              <w:jc w:val="right"/>
              <w:rPr/>
            </w:pPr>
            <w:r>
              <w:rPr/>
              <w:t> </w:t>
            </w:r>
          </w:p>
        </w:tc>
        <w:tc>
          <w:tcPr>
            <w:tcW w:w="38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283"/>
              <w:jc w:val="left"/>
              <w:rPr/>
            </w:pPr>
            <w:r>
              <w:rPr/>
              <w:t> </w:t>
            </w:r>
          </w:p>
        </w:tc>
        <w:tc>
          <w:tcPr>
            <w:tcW w:w="87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shd w:fill="CCEEFF" w:val="clear"/>
            <w:tcMar>
              <w:bottom w:w="0" w:type="dxa"/>
            </w:tcMar>
            <w:vAlign w:val="bottom"/>
          </w:tcPr>
          <w:p>
            <w:pPr>
              <w:pStyle w:val="TableContents"/>
              <w:bidi w:val="0"/>
              <w:spacing w:before="0" w:after="283"/>
              <w:jc w:val="left"/>
              <w:rPr/>
            </w:pPr>
            <w:r>
              <w:rPr/>
              <w:t> </w:t>
            </w:r>
          </w:p>
        </w:tc>
        <w:tc>
          <w:tcPr>
            <w:tcW w:w="1029" w:type="dxa"/>
            <w:tcBorders/>
            <w:shd w:fill="CCEEFF" w:val="clear"/>
            <w:tcMar>
              <w:bottom w:w="0" w:type="dxa"/>
            </w:tcMar>
            <w:vAlign w:val="bottom"/>
          </w:tcPr>
          <w:p>
            <w:pPr>
              <w:pStyle w:val="TableContents"/>
              <w:bidi w:val="0"/>
              <w:spacing w:before="0" w:after="283"/>
              <w:jc w:val="righ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360" w:right="0" w:hanging="180"/>
              <w:jc w:val="left"/>
              <w:rPr/>
            </w:pPr>
            <w:r>
              <w:rPr/>
              <w:t>Bankers Fidelity</w:t>
            </w:r>
          </w:p>
        </w:tc>
        <w:tc>
          <w:tcPr>
            <w:tcW w:w="90" w:type="dxa"/>
            <w:tcBorders/>
            <w:tcMar>
              <w:bottom w:w="0" w:type="dxa"/>
            </w:tcMar>
            <w:vAlign w:val="bottom"/>
          </w:tcPr>
          <w:p>
            <w:pPr>
              <w:pStyle w:val="TableContents"/>
              <w:bidi w:val="0"/>
              <w:spacing w:before="0" w:after="283"/>
              <w:jc w:val="right"/>
              <w:rPr/>
            </w:pPr>
            <w:r>
              <w:rPr/>
              <w:t> </w:t>
            </w:r>
          </w:p>
        </w:tc>
        <w:tc>
          <w:tcPr>
            <w:tcW w:w="232" w:type="dxa"/>
            <w:tcBorders/>
            <w:tcMar>
              <w:bottom w:w="0" w:type="dxa"/>
            </w:tcMar>
            <w:vAlign w:val="bottom"/>
          </w:tcPr>
          <w:p>
            <w:pPr>
              <w:pStyle w:val="TableContents"/>
              <w:bidi w:val="0"/>
              <w:spacing w:before="0" w:after="0"/>
              <w:jc w:val="left"/>
              <w:rPr/>
            </w:pPr>
            <w:r>
              <w:rPr/>
              <w:t>$</w:t>
            </w:r>
          </w:p>
        </w:tc>
        <w:tc>
          <w:tcPr>
            <w:tcW w:w="973" w:type="dxa"/>
            <w:tcBorders/>
            <w:tcMar>
              <w:bottom w:w="0" w:type="dxa"/>
            </w:tcMar>
            <w:vAlign w:val="bottom"/>
          </w:tcPr>
          <w:p>
            <w:pPr>
              <w:pStyle w:val="TableContents"/>
              <w:bidi w:val="0"/>
              <w:spacing w:before="0" w:after="0"/>
              <w:jc w:val="right"/>
              <w:rPr/>
            </w:pPr>
            <w:r>
              <w:rPr/>
              <w:t>38,378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tcMar>
              <w:bottom w:w="0" w:type="dxa"/>
            </w:tcMar>
            <w:vAlign w:val="bottom"/>
          </w:tcPr>
          <w:p>
            <w:pPr>
              <w:pStyle w:val="TableContents"/>
              <w:bidi w:val="0"/>
              <w:spacing w:before="0" w:after="0"/>
              <w:jc w:val="left"/>
              <w:rPr/>
            </w:pPr>
            <w:r>
              <w:rPr/>
              <w:t>$</w:t>
            </w:r>
          </w:p>
        </w:tc>
        <w:tc>
          <w:tcPr>
            <w:tcW w:w="1186" w:type="dxa"/>
            <w:tcBorders/>
            <w:tcMar>
              <w:bottom w:w="0" w:type="dxa"/>
            </w:tcMar>
            <w:vAlign w:val="bottom"/>
          </w:tcPr>
          <w:p>
            <w:pPr>
              <w:pStyle w:val="TableContents"/>
              <w:bidi w:val="0"/>
              <w:spacing w:before="0" w:after="0"/>
              <w:jc w:val="right"/>
              <w:rPr/>
            </w:pPr>
            <w:r>
              <w:rPr/>
              <w:t>102,774</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9" w:type="dxa"/>
            <w:tcBorders/>
            <w:tcMar>
              <w:bottom w:w="0" w:type="dxa"/>
            </w:tcMar>
            <w:vAlign w:val="bottom"/>
          </w:tcPr>
          <w:p>
            <w:pPr>
              <w:pStyle w:val="TableContents"/>
              <w:bidi w:val="0"/>
              <w:spacing w:before="0" w:after="0"/>
              <w:jc w:val="left"/>
              <w:rPr/>
            </w:pPr>
            <w:r>
              <w:rPr/>
              <w:t>$</w:t>
            </w:r>
          </w:p>
        </w:tc>
        <w:tc>
          <w:tcPr>
            <w:tcW w:w="876" w:type="dxa"/>
            <w:tcBorders/>
            <w:tcMar>
              <w:bottom w:w="0" w:type="dxa"/>
            </w:tcMar>
            <w:vAlign w:val="bottom"/>
          </w:tcPr>
          <w:p>
            <w:pPr>
              <w:pStyle w:val="TableContents"/>
              <w:bidi w:val="0"/>
              <w:spacing w:before="0" w:after="0"/>
              <w:jc w:val="right"/>
              <w:rPr/>
            </w:pPr>
            <w:r>
              <w:rPr/>
              <w:t>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tcMar>
              <w:bottom w:w="0" w:type="dxa"/>
            </w:tcMar>
            <w:vAlign w:val="bottom"/>
          </w:tcPr>
          <w:p>
            <w:pPr>
              <w:pStyle w:val="TableContents"/>
              <w:bidi w:val="0"/>
              <w:spacing w:before="0" w:after="0"/>
              <w:jc w:val="left"/>
              <w:rPr/>
            </w:pPr>
            <w:r>
              <w:rPr/>
              <w:t>$</w:t>
            </w:r>
          </w:p>
        </w:tc>
        <w:tc>
          <w:tcPr>
            <w:tcW w:w="1029" w:type="dxa"/>
            <w:tcBorders/>
            <w:tcMar>
              <w:bottom w:w="0" w:type="dxa"/>
            </w:tcMar>
            <w:vAlign w:val="bottom"/>
          </w:tcPr>
          <w:p>
            <w:pPr>
              <w:pStyle w:val="TableContents"/>
              <w:bidi w:val="0"/>
              <w:spacing w:before="0" w:after="0"/>
              <w:jc w:val="right"/>
              <w:rPr/>
            </w:pPr>
            <w:r>
              <w:rPr/>
              <w:t>6,249</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360" w:right="0" w:hanging="180"/>
              <w:jc w:val="left"/>
              <w:rPr/>
            </w:pPr>
            <w:r>
              <w:rPr/>
              <w:t>American Southern</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bottom w:val="single" w:sz="12" w:space="0" w:color="000000"/>
            </w:tcBorders>
            <w:shd w:fill="CCEEFF" w:val="clear"/>
            <w:vAlign w:val="bottom"/>
          </w:tcPr>
          <w:p>
            <w:pPr>
              <w:pStyle w:val="TableContents"/>
              <w:bidi w:val="0"/>
              <w:spacing w:before="0" w:after="283"/>
              <w:jc w:val="left"/>
              <w:rPr/>
            </w:pPr>
            <w:r>
              <w:rPr/>
              <w:t> </w:t>
            </w:r>
          </w:p>
        </w:tc>
        <w:tc>
          <w:tcPr>
            <w:tcW w:w="973" w:type="dxa"/>
            <w:tcBorders>
              <w:bottom w:val="single" w:sz="12" w:space="0" w:color="000000"/>
            </w:tcBorders>
            <w:shd w:fill="CCEEFF" w:val="clear"/>
            <w:vAlign w:val="bottom"/>
          </w:tcPr>
          <w:p>
            <w:pPr>
              <w:pStyle w:val="TableContents"/>
              <w:bidi w:val="0"/>
              <w:spacing w:before="0" w:after="0"/>
              <w:jc w:val="right"/>
              <w:rPr/>
            </w:pPr>
            <w:r>
              <w:rPr/>
              <w:t>2,866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bottom w:val="single" w:sz="12" w:space="0" w:color="000000"/>
            </w:tcBorders>
            <w:shd w:fill="CCEEFF" w:val="clear"/>
            <w:vAlign w:val="bottom"/>
          </w:tcPr>
          <w:p>
            <w:pPr>
              <w:pStyle w:val="TableContents"/>
              <w:bidi w:val="0"/>
              <w:spacing w:before="0" w:after="283"/>
              <w:jc w:val="left"/>
              <w:rPr/>
            </w:pPr>
            <w:r>
              <w:rPr/>
              <w:t> </w:t>
            </w:r>
          </w:p>
        </w:tc>
        <w:tc>
          <w:tcPr>
            <w:tcW w:w="1186" w:type="dxa"/>
            <w:tcBorders>
              <w:bottom w:val="single" w:sz="12" w:space="0" w:color="000000"/>
            </w:tcBorders>
            <w:shd w:fill="CCEEFF" w:val="clear"/>
            <w:vAlign w:val="bottom"/>
          </w:tcPr>
          <w:p>
            <w:pPr>
              <w:pStyle w:val="TableContents"/>
              <w:bidi w:val="0"/>
              <w:spacing w:before="0" w:after="0"/>
              <w:jc w:val="right"/>
              <w:rPr/>
            </w:pPr>
            <w:r>
              <w:rPr/>
              <w:t>67,814</w:t>
            </w:r>
          </w:p>
        </w:tc>
        <w:tc>
          <w:tcPr>
            <w:tcW w:w="38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28,758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bottom w:val="single" w:sz="12" w:space="0" w:color="000000"/>
            </w:tcBorders>
            <w:shd w:fill="CCEEFF" w:val="clear"/>
            <w:vAlign w:val="bottom"/>
          </w:tcPr>
          <w:p>
            <w:pPr>
              <w:pStyle w:val="TableContents"/>
              <w:bidi w:val="0"/>
              <w:spacing w:before="0" w:after="283"/>
              <w:jc w:val="left"/>
              <w:rPr/>
            </w:pPr>
            <w:r>
              <w:rPr/>
              <w:t> </w:t>
            </w:r>
          </w:p>
        </w:tc>
        <w:tc>
          <w:tcPr>
            <w:tcW w:w="1029" w:type="dxa"/>
            <w:tcBorders>
              <w:bottom w:val="single" w:sz="12" w:space="0" w:color="000000"/>
            </w:tcBorders>
            <w:shd w:fill="CCEEFF" w:val="clear"/>
            <w:vAlign w:val="bottom"/>
          </w:tcPr>
          <w:p>
            <w:pPr>
              <w:pStyle w:val="TableContents"/>
              <w:bidi w:val="0"/>
              <w:spacing w:before="0" w:after="0"/>
              <w:jc w:val="right"/>
              <w:rPr/>
            </w:pPr>
            <w:r>
              <w:rPr/>
              <w:t>-</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32" w:type="dxa"/>
            <w:tcBorders>
              <w:bottom w:val="double" w:sz="8" w:space="0" w:color="000000"/>
            </w:tcBorders>
            <w:vAlign w:val="bottom"/>
          </w:tcPr>
          <w:p>
            <w:pPr>
              <w:pStyle w:val="TableContents"/>
              <w:bidi w:val="0"/>
              <w:spacing w:before="0" w:after="0"/>
              <w:jc w:val="left"/>
              <w:rPr/>
            </w:pPr>
            <w:r>
              <w:rPr/>
              <w:t>$</w:t>
            </w:r>
          </w:p>
        </w:tc>
        <w:tc>
          <w:tcPr>
            <w:tcW w:w="973" w:type="dxa"/>
            <w:tcBorders>
              <w:bottom w:val="double" w:sz="8" w:space="0" w:color="000000"/>
            </w:tcBorders>
            <w:vAlign w:val="bottom"/>
          </w:tcPr>
          <w:p>
            <w:pPr>
              <w:pStyle w:val="TableContents"/>
              <w:bidi w:val="0"/>
              <w:spacing w:before="0" w:after="0"/>
              <w:jc w:val="right"/>
              <w:rPr/>
            </w:pPr>
            <w:r>
              <w:rPr/>
              <w:t>41,244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bottom w:val="double" w:sz="8" w:space="0" w:color="000000"/>
            </w:tcBorders>
            <w:vAlign w:val="bottom"/>
          </w:tcPr>
          <w:p>
            <w:pPr>
              <w:pStyle w:val="TableContents"/>
              <w:bidi w:val="0"/>
              <w:spacing w:before="0" w:after="0"/>
              <w:jc w:val="left"/>
              <w:rPr/>
            </w:pPr>
            <w:r>
              <w:rPr/>
              <w:t>$</w:t>
            </w:r>
          </w:p>
        </w:tc>
        <w:tc>
          <w:tcPr>
            <w:tcW w:w="1186" w:type="dxa"/>
            <w:tcBorders>
              <w:bottom w:val="double" w:sz="8" w:space="0" w:color="000000"/>
            </w:tcBorders>
            <w:vAlign w:val="bottom"/>
          </w:tcPr>
          <w:p>
            <w:pPr>
              <w:pStyle w:val="TableContents"/>
              <w:bidi w:val="0"/>
              <w:spacing w:before="0" w:after="0"/>
              <w:jc w:val="right"/>
              <w:rPr/>
            </w:pPr>
            <w:r>
              <w:rPr/>
              <w:t>170,588</w:t>
            </w:r>
          </w:p>
        </w:tc>
        <w:tc>
          <w:tcPr>
            <w:tcW w:w="380" w:type="dxa"/>
            <w:tcBorders/>
            <w:tcMar>
              <w:bottom w:w="0" w:type="dxa"/>
            </w:tcMar>
            <w:vAlign w:val="bottom"/>
          </w:tcPr>
          <w:p>
            <w:pPr>
              <w:pStyle w:val="TableContents"/>
              <w:bidi w:val="0"/>
              <w:spacing w:lineRule="auto" w:line="240" w:before="0" w:after="0"/>
              <w:jc w:val="left"/>
              <w:rPr/>
            </w:pPr>
            <w:r>
              <w:rPr/>
              <w:t>(2) </w:t>
            </w:r>
          </w:p>
        </w:tc>
        <w:tc>
          <w:tcPr>
            <w:tcW w:w="90" w:type="dxa"/>
            <w:tcBorders/>
            <w:tcMar>
              <w:bottom w:w="0" w:type="dxa"/>
            </w:tcMar>
            <w:vAlign w:val="bottom"/>
          </w:tcPr>
          <w:p>
            <w:pPr>
              <w:pStyle w:val="TableContents"/>
              <w:bidi w:val="0"/>
              <w:spacing w:before="0" w:after="283"/>
              <w:jc w:val="righ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28,845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bottom w:val="double" w:sz="8" w:space="0" w:color="000000"/>
            </w:tcBorders>
            <w:vAlign w:val="bottom"/>
          </w:tcPr>
          <w:p>
            <w:pPr>
              <w:pStyle w:val="TableContents"/>
              <w:bidi w:val="0"/>
              <w:spacing w:before="0" w:after="0"/>
              <w:jc w:val="left"/>
              <w:rPr/>
            </w:pPr>
            <w:r>
              <w:rPr/>
              <w:t>$</w:t>
            </w:r>
          </w:p>
        </w:tc>
        <w:tc>
          <w:tcPr>
            <w:tcW w:w="1029" w:type="dxa"/>
            <w:tcBorders>
              <w:bottom w:val="double" w:sz="8" w:space="0" w:color="000000"/>
            </w:tcBorders>
            <w:vAlign w:val="bottom"/>
          </w:tcPr>
          <w:p>
            <w:pPr>
              <w:pStyle w:val="TableContents"/>
              <w:bidi w:val="0"/>
              <w:spacing w:before="0" w:after="0"/>
              <w:jc w:val="right"/>
              <w:rPr/>
            </w:pPr>
            <w:r>
              <w:rPr/>
              <w:t>6,249</w:t>
            </w:r>
          </w:p>
        </w:tc>
        <w:tc>
          <w:tcPr>
            <w:tcW w:w="12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(1) Includes future policy benefits of $84,719 and losses and claims of $113,836.</w:t>
      </w:r>
    </w:p>
    <w:p>
      <w:pPr>
        <w:pStyle w:val="TextBody"/>
        <w:bidi w:val="0"/>
        <w:spacing w:before="0" w:after="0"/>
        <w:jc w:val="both"/>
        <w:rPr>
          <w:rFonts w:ascii="Times New Roman" w:hAnsi="Times New Roman"/>
          <w:sz w:val="20"/>
        </w:rPr>
      </w:pPr>
      <w:r>
        <w:rPr>
          <w:rFonts w:ascii="Times New Roman" w:hAnsi="Times New Roman"/>
          <w:sz w:val="20"/>
        </w:rPr>
        <w:t>(2) Includes future policy benefits of $76,881 and losses and claims of $93,707.</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Schedule III</w:t>
      </w:r>
    </w:p>
    <w:p>
      <w:pPr>
        <w:pStyle w:val="TextBody"/>
        <w:bidi w:val="0"/>
        <w:spacing w:before="0" w:after="0"/>
        <w:jc w:val="right"/>
        <w:rPr>
          <w:rFonts w:ascii="Times New Roman" w:hAnsi="Times New Roman"/>
          <w:b/>
          <w:sz w:val="20"/>
        </w:rPr>
      </w:pPr>
      <w:r>
        <w:rPr>
          <w:rFonts w:ascii="Times New Roman" w:hAnsi="Times New Roman"/>
          <w:b/>
          <w:sz w:val="20"/>
        </w:rPr>
        <w:t>Page 2 of 2</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SUPPLEMENTARY INSURANCE INFORMATION</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194"/>
        <w:gridCol w:w="90"/>
        <w:gridCol w:w="170"/>
        <w:gridCol w:w="830"/>
        <w:gridCol w:w="90"/>
        <w:gridCol w:w="90"/>
        <w:gridCol w:w="226"/>
        <w:gridCol w:w="949"/>
        <w:gridCol w:w="90"/>
        <w:gridCol w:w="90"/>
        <w:gridCol w:w="193"/>
        <w:gridCol w:w="947"/>
        <w:gridCol w:w="90"/>
        <w:gridCol w:w="90"/>
        <w:gridCol w:w="270"/>
        <w:gridCol w:w="1130"/>
        <w:gridCol w:w="90"/>
        <w:gridCol w:w="90"/>
        <w:gridCol w:w="209"/>
        <w:gridCol w:w="876"/>
        <w:gridCol w:w="90"/>
        <w:gridCol w:w="90"/>
        <w:gridCol w:w="209"/>
        <w:gridCol w:w="876"/>
        <w:gridCol w:w="136"/>
      </w:tblGrid>
      <w:tr>
        <w:trPr/>
        <w:tc>
          <w:tcPr>
            <w:tcW w:w="2194" w:type="dxa"/>
            <w:tcBorders>
              <w:bottom w:val="single" w:sz="12" w:space="0" w:color="000000"/>
            </w:tcBorders>
            <w:vAlign w:val="center"/>
          </w:tcPr>
          <w:p>
            <w:pPr>
              <w:pStyle w:val="TableContents"/>
              <w:bidi w:val="0"/>
              <w:spacing w:before="0" w:after="0"/>
              <w:jc w:val="left"/>
              <w:rPr>
                <w:b/>
              </w:rPr>
            </w:pPr>
            <w:r>
              <w:rPr>
                <w:b/>
              </w:rPr>
              <w:t>Segment</w:t>
            </w:r>
          </w:p>
        </w:tc>
        <w:tc>
          <w:tcPr>
            <w:tcW w:w="90" w:type="dxa"/>
            <w:tcBorders/>
            <w:tcMar>
              <w:bottom w:w="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0"/>
              <w:jc w:val="center"/>
              <w:rPr>
                <w:b/>
              </w:rPr>
            </w:pPr>
            <w:r>
              <w:rPr>
                <w:b/>
              </w:rPr>
              <w:t>Premium</w:t>
            </w:r>
          </w:p>
          <w:p>
            <w:pPr>
              <w:pStyle w:val="TableContents"/>
              <w:bidi w:val="0"/>
              <w:spacing w:before="0" w:after="0"/>
              <w:jc w:val="center"/>
              <w:rPr>
                <w:b/>
              </w:rPr>
            </w:pPr>
            <w:r>
              <w:rPr>
                <w:b/>
              </w:rPr>
              <w:t>Revenue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75" w:type="dxa"/>
            <w:gridSpan w:val="2"/>
            <w:tcBorders>
              <w:bottom w:val="single" w:sz="12" w:space="0" w:color="000000"/>
            </w:tcBorders>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Investment</w:t>
            </w:r>
          </w:p>
          <w:p>
            <w:pPr>
              <w:pStyle w:val="TableContents"/>
              <w:bidi w:val="0"/>
              <w:spacing w:before="0" w:after="0"/>
              <w:jc w:val="center"/>
              <w:rPr>
                <w:b/>
              </w:rPr>
            </w:pPr>
            <w:r>
              <w:rPr>
                <w:b/>
              </w:rPr>
              <w:t>Income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40" w:type="dxa"/>
            <w:gridSpan w:val="2"/>
            <w:tcBorders>
              <w:bottom w:val="single" w:sz="12" w:space="0" w:color="000000"/>
            </w:tcBorders>
            <w:vAlign w:val="center"/>
          </w:tcPr>
          <w:p>
            <w:pPr>
              <w:pStyle w:val="TableContents"/>
              <w:bidi w:val="0"/>
              <w:spacing w:before="0" w:after="0"/>
              <w:jc w:val="center"/>
              <w:rPr/>
            </w:pPr>
            <w:r>
              <w:rPr/>
              <w:t> </w:t>
            </w:r>
          </w:p>
          <w:p>
            <w:pPr>
              <w:pStyle w:val="TableContents"/>
              <w:bidi w:val="0"/>
              <w:spacing w:before="0" w:after="0"/>
              <w:jc w:val="center"/>
              <w:rPr>
                <w:b/>
              </w:rPr>
            </w:pPr>
            <w:r>
              <w:rPr>
                <w:b/>
              </w:rPr>
              <w:t>Claims,</w:t>
            </w:r>
          </w:p>
          <w:p>
            <w:pPr>
              <w:pStyle w:val="TableContents"/>
              <w:bidi w:val="0"/>
              <w:spacing w:before="0" w:after="0"/>
              <w:jc w:val="center"/>
              <w:rPr>
                <w:b/>
              </w:rPr>
            </w:pPr>
            <w:r>
              <w:rPr>
                <w:b/>
              </w:rPr>
              <w:t>Losses and</w:t>
            </w:r>
          </w:p>
          <w:p>
            <w:pPr>
              <w:pStyle w:val="TableContents"/>
              <w:bidi w:val="0"/>
              <w:spacing w:before="0" w:after="0"/>
              <w:jc w:val="center"/>
              <w:rPr>
                <w:b/>
              </w:rPr>
            </w:pPr>
            <w:r>
              <w:rPr>
                <w:b/>
              </w:rPr>
              <w:t>Settlement</w:t>
            </w:r>
          </w:p>
          <w:p>
            <w:pPr>
              <w:pStyle w:val="TableContents"/>
              <w:bidi w:val="0"/>
              <w:spacing w:before="0" w:after="0"/>
              <w:jc w:val="center"/>
              <w:rPr>
                <w:b/>
              </w:rPr>
            </w:pPr>
            <w:r>
              <w:rPr>
                <w:b/>
              </w:rPr>
              <w:t>Expenses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00" w:type="dxa"/>
            <w:gridSpan w:val="2"/>
            <w:tcBorders>
              <w:bottom w:val="single" w:sz="12" w:space="0" w:color="000000"/>
            </w:tcBorders>
            <w:vAlign w:val="center"/>
          </w:tcPr>
          <w:p>
            <w:pPr>
              <w:pStyle w:val="TableContents"/>
              <w:bidi w:val="0"/>
              <w:spacing w:before="0" w:after="0"/>
              <w:jc w:val="center"/>
              <w:rPr>
                <w:b/>
              </w:rPr>
            </w:pPr>
            <w:r>
              <w:rPr>
                <w:b/>
              </w:rPr>
              <w:t>Amortization</w:t>
            </w:r>
          </w:p>
          <w:p>
            <w:pPr>
              <w:pStyle w:val="TableContents"/>
              <w:bidi w:val="0"/>
              <w:spacing w:before="0" w:after="0"/>
              <w:jc w:val="center"/>
              <w:rPr>
                <w:b/>
              </w:rPr>
            </w:pPr>
            <w:r>
              <w:rPr>
                <w:b/>
              </w:rPr>
              <w:t>of Deferred</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Operating</w:t>
            </w:r>
          </w:p>
          <w:p>
            <w:pPr>
              <w:pStyle w:val="TableContents"/>
              <w:bidi w:val="0"/>
              <w:spacing w:before="0" w:after="0"/>
              <w:jc w:val="center"/>
              <w:rPr>
                <w:b/>
              </w:rPr>
            </w:pPr>
            <w:r>
              <w:rPr>
                <w:b/>
              </w:rPr>
              <w:t>Expenses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0"/>
              <w:jc w:val="center"/>
              <w:rPr>
                <w:b/>
              </w:rPr>
            </w:pPr>
            <w:r>
              <w:rPr>
                <w:b/>
              </w:rPr>
              <w:t>Casualty</w:t>
            </w:r>
          </w:p>
          <w:p>
            <w:pPr>
              <w:pStyle w:val="TableContents"/>
              <w:bidi w:val="0"/>
              <w:spacing w:before="0" w:after="0"/>
              <w:jc w:val="center"/>
              <w:rPr>
                <w:b/>
              </w:rPr>
            </w:pPr>
            <w:r>
              <w:rPr>
                <w:b/>
              </w:rPr>
              <w:t>Premiums</w:t>
            </w:r>
          </w:p>
          <w:p>
            <w:pPr>
              <w:pStyle w:val="TableContents"/>
              <w:bidi w:val="0"/>
              <w:spacing w:before="0" w:after="0"/>
              <w:jc w:val="center"/>
              <w:rPr>
                <w:b/>
              </w:rPr>
            </w:pPr>
            <w:r>
              <w:rPr>
                <w:b/>
              </w:rPr>
              <w:t>Written</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785" w:type="dxa"/>
            <w:gridSpan w:val="22"/>
            <w:tcBorders/>
            <w:tcMar>
              <w:bottom w:w="0" w:type="dxa"/>
            </w:tcMar>
            <w:vAlign w:val="bottom"/>
          </w:tcPr>
          <w:p>
            <w:pPr>
              <w:pStyle w:val="TableContents"/>
              <w:bidi w:val="0"/>
              <w:spacing w:before="0" w:after="0"/>
              <w:jc w:val="center"/>
              <w:rPr>
                <w:b/>
              </w:rPr>
            </w:pPr>
            <w:r>
              <w:rPr>
                <w:b/>
              </w:rPr>
              <w:t>(In thousands)</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jc w:val="left"/>
              <w:rPr/>
            </w:pPr>
            <w:r>
              <w:rPr/>
              <w:t>December 31, 2025:</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7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4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4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Bankers Fidelity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830" w:type="dxa"/>
            <w:tcBorders/>
            <w:shd w:fill="CCEEFF" w:val="clear"/>
            <w:tcMar>
              <w:bottom w:w="0" w:type="dxa"/>
            </w:tcMar>
            <w:vAlign w:val="bottom"/>
          </w:tcPr>
          <w:p>
            <w:pPr>
              <w:pStyle w:val="TableContents"/>
              <w:bidi w:val="0"/>
              <w:spacing w:before="0" w:after="0"/>
              <w:jc w:val="right"/>
              <w:rPr/>
            </w:pPr>
            <w:r>
              <w:rPr/>
              <w:t>111,638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0"/>
              <w:jc w:val="left"/>
              <w:rPr/>
            </w:pPr>
            <w:r>
              <w:rPr/>
              <w:t>$</w:t>
            </w:r>
          </w:p>
        </w:tc>
        <w:tc>
          <w:tcPr>
            <w:tcW w:w="949" w:type="dxa"/>
            <w:tcBorders/>
            <w:shd w:fill="CCEEFF" w:val="clear"/>
            <w:tcMar>
              <w:bottom w:w="0" w:type="dxa"/>
            </w:tcMar>
            <w:vAlign w:val="bottom"/>
          </w:tcPr>
          <w:p>
            <w:pPr>
              <w:pStyle w:val="TableContents"/>
              <w:bidi w:val="0"/>
              <w:spacing w:before="0" w:after="0"/>
              <w:jc w:val="right"/>
              <w:rPr/>
            </w:pPr>
            <w:r>
              <w:rPr/>
              <w:t>5,818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shd w:fill="CCEEFF" w:val="clear"/>
            <w:tcMar>
              <w:bottom w:w="0" w:type="dxa"/>
            </w:tcMar>
            <w:vAlign w:val="bottom"/>
          </w:tcPr>
          <w:p>
            <w:pPr>
              <w:pStyle w:val="TableContents"/>
              <w:bidi w:val="0"/>
              <w:spacing w:before="0" w:after="0"/>
              <w:jc w:val="left"/>
              <w:rPr/>
            </w:pPr>
            <w:r>
              <w:rPr/>
              <w:t>$</w:t>
            </w:r>
          </w:p>
        </w:tc>
        <w:tc>
          <w:tcPr>
            <w:tcW w:w="947" w:type="dxa"/>
            <w:tcBorders/>
            <w:shd w:fill="CCEEFF" w:val="clear"/>
            <w:tcMar>
              <w:bottom w:w="0" w:type="dxa"/>
            </w:tcMar>
            <w:vAlign w:val="bottom"/>
          </w:tcPr>
          <w:p>
            <w:pPr>
              <w:pStyle w:val="TableContents"/>
              <w:bidi w:val="0"/>
              <w:spacing w:before="0" w:after="0"/>
              <w:jc w:val="right"/>
              <w:rPr/>
            </w:pPr>
            <w:r>
              <w:rPr/>
              <w:t>72,287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shd w:fill="CCEEFF" w:val="clear"/>
            <w:tcMar>
              <w:bottom w:w="0" w:type="dxa"/>
            </w:tcMar>
            <w:vAlign w:val="bottom"/>
          </w:tcPr>
          <w:p>
            <w:pPr>
              <w:pStyle w:val="TableContents"/>
              <w:bidi w:val="0"/>
              <w:spacing w:before="0" w:after="0"/>
              <w:jc w:val="left"/>
              <w:rPr/>
            </w:pPr>
            <w:r>
              <w:rPr/>
              <w:t>$</w:t>
            </w:r>
          </w:p>
        </w:tc>
        <w:tc>
          <w:tcPr>
            <w:tcW w:w="1130" w:type="dxa"/>
            <w:tcBorders/>
            <w:shd w:fill="CCEEFF" w:val="clear"/>
            <w:tcMar>
              <w:bottom w:w="0" w:type="dxa"/>
            </w:tcMar>
            <w:vAlign w:val="bottom"/>
          </w:tcPr>
          <w:p>
            <w:pPr>
              <w:pStyle w:val="TableContents"/>
              <w:bidi w:val="0"/>
              <w:spacing w:before="0" w:after="0"/>
              <w:jc w:val="right"/>
              <w:rPr/>
            </w:pPr>
            <w:r>
              <w:rPr/>
              <w:t>9,113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32,291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ind w:left="180" w:right="0" w:hanging="0"/>
              <w:jc w:val="left"/>
              <w:rPr/>
            </w:pPr>
            <w:r>
              <w:rPr/>
              <w:t>American Southern</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pPr>
            <w:r>
              <w:rPr/>
              <w:t>84,504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0"/>
              <w:jc w:val="right"/>
              <w:rPr/>
            </w:pPr>
            <w:r>
              <w:rPr/>
              <w:t>4,357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pPr>
            <w:r>
              <w:rPr/>
              <w:t>65,254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tcMar>
              <w:bottom w:w="0" w:type="dxa"/>
            </w:tcMar>
            <w:vAlign w:val="bottom"/>
          </w:tcPr>
          <w:p>
            <w:pPr>
              <w:pStyle w:val="TableContents"/>
              <w:bidi w:val="0"/>
              <w:spacing w:before="0" w:after="283"/>
              <w:jc w:val="left"/>
              <w:rPr/>
            </w:pPr>
            <w:r>
              <w:rPr/>
              <w:t> </w:t>
            </w:r>
          </w:p>
        </w:tc>
        <w:tc>
          <w:tcPr>
            <w:tcW w:w="1130" w:type="dxa"/>
            <w:tcBorders/>
            <w:tcMar>
              <w:bottom w:w="0" w:type="dxa"/>
            </w:tcMar>
            <w:vAlign w:val="bottom"/>
          </w:tcPr>
          <w:p>
            <w:pPr>
              <w:pStyle w:val="TableContents"/>
              <w:bidi w:val="0"/>
              <w:spacing w:before="0" w:after="0"/>
              <w:jc w:val="right"/>
              <w:rPr/>
            </w:pPr>
            <w:r>
              <w:rPr/>
              <w:t>9,745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8,761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90,434</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Corporate &amp; other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8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949" w:type="dxa"/>
            <w:tcBorders>
              <w:bottom w:val="single" w:sz="12" w:space="0" w:color="000000"/>
            </w:tcBorders>
            <w:shd w:fill="CCEEFF" w:val="clear"/>
            <w:vAlign w:val="bottom"/>
          </w:tcPr>
          <w:p>
            <w:pPr>
              <w:pStyle w:val="TableContents"/>
              <w:bidi w:val="0"/>
              <w:spacing w:before="0" w:after="0"/>
              <w:jc w:val="right"/>
              <w:rPr/>
            </w:pPr>
            <w:r>
              <w:rPr/>
              <w:t>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bottom w:val="single" w:sz="12" w:space="0" w:color="000000"/>
            </w:tcBorders>
            <w:shd w:fill="CCEEFF" w:val="clear"/>
            <w:vAlign w:val="bottom"/>
          </w:tcPr>
          <w:p>
            <w:pPr>
              <w:pStyle w:val="TableContents"/>
              <w:bidi w:val="0"/>
              <w:spacing w:before="0" w:after="283"/>
              <w:jc w:val="left"/>
              <w:rPr/>
            </w:pPr>
            <w:r>
              <w:rPr/>
              <w:t> </w:t>
            </w:r>
          </w:p>
        </w:tc>
        <w:tc>
          <w:tcPr>
            <w:tcW w:w="947"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vAlign w:val="bottom"/>
          </w:tcPr>
          <w:p>
            <w:pPr>
              <w:pStyle w:val="TableContents"/>
              <w:bidi w:val="0"/>
              <w:spacing w:before="0" w:after="283"/>
              <w:jc w:val="left"/>
              <w:rPr/>
            </w:pPr>
            <w:r>
              <w:rPr/>
              <w:t> </w:t>
            </w:r>
          </w:p>
        </w:tc>
        <w:tc>
          <w:tcPr>
            <w:tcW w:w="11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10,134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vAlign w:val="bottom"/>
          </w:tcPr>
          <w:p>
            <w:pPr>
              <w:pStyle w:val="TableContents"/>
              <w:bidi w:val="0"/>
              <w:spacing w:before="0" w:after="0"/>
              <w:jc w:val="left"/>
              <w:rPr/>
            </w:pPr>
            <w:r>
              <w:rPr/>
              <w:t>$</w:t>
            </w:r>
          </w:p>
        </w:tc>
        <w:tc>
          <w:tcPr>
            <w:tcW w:w="830" w:type="dxa"/>
            <w:tcBorders>
              <w:bottom w:val="double" w:sz="8" w:space="0" w:color="000000"/>
            </w:tcBorders>
            <w:vAlign w:val="bottom"/>
          </w:tcPr>
          <w:p>
            <w:pPr>
              <w:pStyle w:val="TableContents"/>
              <w:bidi w:val="0"/>
              <w:spacing w:before="0" w:after="0"/>
              <w:jc w:val="right"/>
              <w:rPr/>
            </w:pPr>
            <w:r>
              <w:rPr/>
              <w:t>196,142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bottom w:val="double" w:sz="8" w:space="0" w:color="000000"/>
            </w:tcBorders>
            <w:vAlign w:val="bottom"/>
          </w:tcPr>
          <w:p>
            <w:pPr>
              <w:pStyle w:val="TableContents"/>
              <w:bidi w:val="0"/>
              <w:spacing w:before="0" w:after="0"/>
              <w:jc w:val="left"/>
              <w:rPr/>
            </w:pPr>
            <w:r>
              <w:rPr/>
              <w:t>$</w:t>
            </w:r>
          </w:p>
        </w:tc>
        <w:tc>
          <w:tcPr>
            <w:tcW w:w="949" w:type="dxa"/>
            <w:tcBorders>
              <w:bottom w:val="double" w:sz="8" w:space="0" w:color="000000"/>
            </w:tcBorders>
            <w:vAlign w:val="bottom"/>
          </w:tcPr>
          <w:p>
            <w:pPr>
              <w:pStyle w:val="TableContents"/>
              <w:bidi w:val="0"/>
              <w:spacing w:before="0" w:after="0"/>
              <w:jc w:val="right"/>
              <w:rPr/>
            </w:pPr>
            <w:r>
              <w:rPr/>
              <w:t>10,266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bottom w:val="double" w:sz="8" w:space="0" w:color="000000"/>
            </w:tcBorders>
            <w:vAlign w:val="bottom"/>
          </w:tcPr>
          <w:p>
            <w:pPr>
              <w:pStyle w:val="TableContents"/>
              <w:bidi w:val="0"/>
              <w:spacing w:before="0" w:after="0"/>
              <w:jc w:val="left"/>
              <w:rPr/>
            </w:pPr>
            <w:r>
              <w:rPr/>
              <w:t>$</w:t>
            </w:r>
          </w:p>
        </w:tc>
        <w:tc>
          <w:tcPr>
            <w:tcW w:w="947" w:type="dxa"/>
            <w:tcBorders>
              <w:bottom w:val="double" w:sz="8" w:space="0" w:color="000000"/>
            </w:tcBorders>
            <w:vAlign w:val="bottom"/>
          </w:tcPr>
          <w:p>
            <w:pPr>
              <w:pStyle w:val="TableContents"/>
              <w:bidi w:val="0"/>
              <w:spacing w:before="0" w:after="0"/>
              <w:jc w:val="right"/>
              <w:rPr/>
            </w:pPr>
            <w:r>
              <w:rPr/>
              <w:t>137,541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bottom w:val="double" w:sz="8" w:space="0" w:color="000000"/>
            </w:tcBorders>
            <w:vAlign w:val="bottom"/>
          </w:tcPr>
          <w:p>
            <w:pPr>
              <w:pStyle w:val="TableContents"/>
              <w:bidi w:val="0"/>
              <w:spacing w:before="0" w:after="0"/>
              <w:jc w:val="left"/>
              <w:rPr/>
            </w:pPr>
            <w:r>
              <w:rPr/>
              <w:t>$</w:t>
            </w:r>
          </w:p>
        </w:tc>
        <w:tc>
          <w:tcPr>
            <w:tcW w:w="1130" w:type="dxa"/>
            <w:tcBorders>
              <w:bottom w:val="double" w:sz="8" w:space="0" w:color="000000"/>
            </w:tcBorders>
            <w:vAlign w:val="bottom"/>
          </w:tcPr>
          <w:p>
            <w:pPr>
              <w:pStyle w:val="TableContents"/>
              <w:bidi w:val="0"/>
              <w:spacing w:before="0" w:after="0"/>
              <w:jc w:val="right"/>
              <w:rPr/>
            </w:pPr>
            <w:r>
              <w:rPr/>
              <w:t>18,858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51,186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90,434</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949"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shd w:fill="CCEEFF" w:val="clear"/>
            <w:tcMar>
              <w:bottom w:w="0" w:type="dxa"/>
            </w:tcMar>
            <w:vAlign w:val="bottom"/>
          </w:tcPr>
          <w:p>
            <w:pPr>
              <w:pStyle w:val="TableContents"/>
              <w:bidi w:val="0"/>
              <w:spacing w:before="0" w:after="283"/>
              <w:jc w:val="left"/>
              <w:rPr/>
            </w:pPr>
            <w:r>
              <w:rPr/>
              <w:t> </w:t>
            </w:r>
          </w:p>
        </w:tc>
        <w:tc>
          <w:tcPr>
            <w:tcW w:w="947"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shd w:fill="CCEEFF" w:val="clear"/>
            <w:tcMar>
              <w:bottom w:w="0" w:type="dxa"/>
            </w:tcMar>
            <w:vAlign w:val="bottom"/>
          </w:tcPr>
          <w:p>
            <w:pPr>
              <w:pStyle w:val="TableContents"/>
              <w:bidi w:val="0"/>
              <w:spacing w:before="0" w:after="283"/>
              <w:jc w:val="left"/>
              <w:rPr/>
            </w:pPr>
            <w:r>
              <w:rPr/>
              <w:t> </w:t>
            </w:r>
          </w:p>
        </w:tc>
        <w:tc>
          <w:tcPr>
            <w:tcW w:w="11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283"/>
              <w:jc w:val="left"/>
              <w:rPr/>
            </w:pPr>
            <w:r>
              <w:rPr/>
              <w:t> </w:t>
            </w:r>
          </w:p>
        </w:tc>
        <w:tc>
          <w:tcPr>
            <w:tcW w:w="87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283"/>
              <w:jc w:val="left"/>
              <w:rPr/>
            </w:pPr>
            <w:r>
              <w:rPr/>
              <w:t> </w:t>
            </w:r>
          </w:p>
        </w:tc>
        <w:tc>
          <w:tcPr>
            <w:tcW w:w="876" w:type="dxa"/>
            <w:tcBorders/>
            <w:shd w:fill="CCEEFF" w:val="clear"/>
            <w:tcMar>
              <w:bottom w:w="0" w:type="dxa"/>
            </w:tcMar>
            <w:vAlign w:val="bottom"/>
          </w:tcPr>
          <w:p>
            <w:pPr>
              <w:pStyle w:val="TableContents"/>
              <w:bidi w:val="0"/>
              <w:spacing w:before="0" w:after="283"/>
              <w:jc w:val="right"/>
              <w:rPr/>
            </w:pPr>
            <w:r>
              <w:rPr/>
              <w:t> </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jc w:val="left"/>
              <w:rPr/>
            </w:pPr>
            <w:r>
              <w:rPr/>
              <w:t>December 31, 2024 (Restated):</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tcMar>
              <w:bottom w:w="0" w:type="dxa"/>
            </w:tcMar>
            <w:vAlign w:val="bottom"/>
          </w:tcPr>
          <w:p>
            <w:pPr>
              <w:pStyle w:val="TableContents"/>
              <w:bidi w:val="0"/>
              <w:spacing w:before="0" w:after="283"/>
              <w:jc w:val="left"/>
              <w:rPr/>
            </w:pPr>
            <w:r>
              <w:rPr/>
              <w:t> </w:t>
            </w:r>
          </w:p>
        </w:tc>
        <w:tc>
          <w:tcPr>
            <w:tcW w:w="11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283"/>
              <w:jc w:val="right"/>
              <w:rPr/>
            </w:pPr>
            <w:r>
              <w:rPr/>
              <w:t> </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Bankers Fidelity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830" w:type="dxa"/>
            <w:tcBorders/>
            <w:shd w:fill="CCEEFF" w:val="clear"/>
            <w:tcMar>
              <w:bottom w:w="0" w:type="dxa"/>
            </w:tcMar>
            <w:vAlign w:val="bottom"/>
          </w:tcPr>
          <w:p>
            <w:pPr>
              <w:pStyle w:val="TableContents"/>
              <w:bidi w:val="0"/>
              <w:spacing w:before="0" w:after="0"/>
              <w:jc w:val="right"/>
              <w:rPr/>
            </w:pPr>
            <w:r>
              <w:rPr/>
              <w:t>110,899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0"/>
              <w:jc w:val="left"/>
              <w:rPr/>
            </w:pPr>
            <w:r>
              <w:rPr/>
              <w:t>$</w:t>
            </w:r>
          </w:p>
        </w:tc>
        <w:tc>
          <w:tcPr>
            <w:tcW w:w="949" w:type="dxa"/>
            <w:tcBorders/>
            <w:shd w:fill="CCEEFF" w:val="clear"/>
            <w:tcMar>
              <w:bottom w:w="0" w:type="dxa"/>
            </w:tcMar>
            <w:vAlign w:val="bottom"/>
          </w:tcPr>
          <w:p>
            <w:pPr>
              <w:pStyle w:val="TableContents"/>
              <w:bidi w:val="0"/>
              <w:spacing w:before="0" w:after="0"/>
              <w:jc w:val="right"/>
              <w:rPr/>
            </w:pPr>
            <w:r>
              <w:rPr/>
              <w:t>5,544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shd w:fill="CCEEFF" w:val="clear"/>
            <w:tcMar>
              <w:bottom w:w="0" w:type="dxa"/>
            </w:tcMar>
            <w:vAlign w:val="bottom"/>
          </w:tcPr>
          <w:p>
            <w:pPr>
              <w:pStyle w:val="TableContents"/>
              <w:bidi w:val="0"/>
              <w:spacing w:before="0" w:after="0"/>
              <w:jc w:val="left"/>
              <w:rPr/>
            </w:pPr>
            <w:r>
              <w:rPr/>
              <w:t>$</w:t>
            </w:r>
          </w:p>
        </w:tc>
        <w:tc>
          <w:tcPr>
            <w:tcW w:w="947" w:type="dxa"/>
            <w:tcBorders/>
            <w:shd w:fill="CCEEFF" w:val="clear"/>
            <w:tcMar>
              <w:bottom w:w="0" w:type="dxa"/>
            </w:tcMar>
            <w:vAlign w:val="bottom"/>
          </w:tcPr>
          <w:p>
            <w:pPr>
              <w:pStyle w:val="TableContents"/>
              <w:bidi w:val="0"/>
              <w:spacing w:before="0" w:after="0"/>
              <w:jc w:val="right"/>
              <w:rPr/>
            </w:pPr>
            <w:r>
              <w:rPr/>
              <w:t>68,311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shd w:fill="CCEEFF" w:val="clear"/>
            <w:tcMar>
              <w:bottom w:w="0" w:type="dxa"/>
            </w:tcMar>
            <w:vAlign w:val="bottom"/>
          </w:tcPr>
          <w:p>
            <w:pPr>
              <w:pStyle w:val="TableContents"/>
              <w:bidi w:val="0"/>
              <w:spacing w:before="0" w:after="0"/>
              <w:jc w:val="left"/>
              <w:rPr/>
            </w:pPr>
            <w:r>
              <w:rPr/>
              <w:t>$</w:t>
            </w:r>
          </w:p>
        </w:tc>
        <w:tc>
          <w:tcPr>
            <w:tcW w:w="1130" w:type="dxa"/>
            <w:tcBorders/>
            <w:shd w:fill="CCEEFF" w:val="clear"/>
            <w:tcMar>
              <w:bottom w:w="0" w:type="dxa"/>
            </w:tcMar>
            <w:vAlign w:val="bottom"/>
          </w:tcPr>
          <w:p>
            <w:pPr>
              <w:pStyle w:val="TableContents"/>
              <w:bidi w:val="0"/>
              <w:spacing w:before="0" w:after="0"/>
              <w:jc w:val="right"/>
              <w:rPr/>
            </w:pPr>
            <w:r>
              <w:rPr/>
              <w:t>10,219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31,962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ind w:left="180" w:right="0" w:hanging="0"/>
              <w:jc w:val="left"/>
              <w:rPr/>
            </w:pPr>
            <w:r>
              <w:rPr/>
              <w:t>American Southern</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pPr>
            <w:r>
              <w:rPr/>
              <w:t>67,689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0"/>
              <w:jc w:val="right"/>
              <w:rPr/>
            </w:pPr>
            <w:r>
              <w:rPr/>
              <w:t>4,151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pPr>
            <w:r>
              <w:rPr/>
              <w:t>55,767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tcMar>
              <w:bottom w:w="0" w:type="dxa"/>
            </w:tcMar>
            <w:vAlign w:val="bottom"/>
          </w:tcPr>
          <w:p>
            <w:pPr>
              <w:pStyle w:val="TableContents"/>
              <w:bidi w:val="0"/>
              <w:spacing w:before="0" w:after="283"/>
              <w:jc w:val="left"/>
              <w:rPr/>
            </w:pPr>
            <w:r>
              <w:rPr/>
              <w:t> </w:t>
            </w:r>
          </w:p>
        </w:tc>
        <w:tc>
          <w:tcPr>
            <w:tcW w:w="1130" w:type="dxa"/>
            <w:tcBorders/>
            <w:tcMar>
              <w:bottom w:w="0" w:type="dxa"/>
            </w:tcMar>
            <w:vAlign w:val="bottom"/>
          </w:tcPr>
          <w:p>
            <w:pPr>
              <w:pStyle w:val="TableContents"/>
              <w:bidi w:val="0"/>
              <w:spacing w:before="0" w:after="0"/>
              <w:jc w:val="right"/>
              <w:rPr/>
            </w:pPr>
            <w:r>
              <w:rPr/>
              <w:t>8,332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7,234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67,692</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Corporate &amp; other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8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949" w:type="dxa"/>
            <w:tcBorders>
              <w:bottom w:val="single" w:sz="12" w:space="0" w:color="000000"/>
            </w:tcBorders>
            <w:shd w:fill="CCEEFF" w:val="clear"/>
            <w:vAlign w:val="bottom"/>
          </w:tcPr>
          <w:p>
            <w:pPr>
              <w:pStyle w:val="TableContents"/>
              <w:bidi w:val="0"/>
              <w:spacing w:before="0" w:after="0"/>
              <w:jc w:val="right"/>
              <w:rPr/>
            </w:pPr>
            <w:r>
              <w:rPr/>
              <w:t>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bottom w:val="single" w:sz="12" w:space="0" w:color="000000"/>
            </w:tcBorders>
            <w:shd w:fill="CCEEFF" w:val="clear"/>
            <w:vAlign w:val="bottom"/>
          </w:tcPr>
          <w:p>
            <w:pPr>
              <w:pStyle w:val="TableContents"/>
              <w:bidi w:val="0"/>
              <w:spacing w:before="0" w:after="283"/>
              <w:jc w:val="left"/>
              <w:rPr/>
            </w:pPr>
            <w:r>
              <w:rPr/>
              <w:t> </w:t>
            </w:r>
          </w:p>
        </w:tc>
        <w:tc>
          <w:tcPr>
            <w:tcW w:w="947"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vAlign w:val="bottom"/>
          </w:tcPr>
          <w:p>
            <w:pPr>
              <w:pStyle w:val="TableContents"/>
              <w:bidi w:val="0"/>
              <w:spacing w:before="0" w:after="283"/>
              <w:jc w:val="left"/>
              <w:rPr/>
            </w:pPr>
            <w:r>
              <w:rPr/>
              <w:t> </w:t>
            </w:r>
          </w:p>
        </w:tc>
        <w:tc>
          <w:tcPr>
            <w:tcW w:w="11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10,217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vAlign w:val="bottom"/>
          </w:tcPr>
          <w:p>
            <w:pPr>
              <w:pStyle w:val="TableContents"/>
              <w:bidi w:val="0"/>
              <w:spacing w:before="0" w:after="0"/>
              <w:jc w:val="left"/>
              <w:rPr/>
            </w:pPr>
            <w:r>
              <w:rPr/>
              <w:t>$</w:t>
            </w:r>
          </w:p>
        </w:tc>
        <w:tc>
          <w:tcPr>
            <w:tcW w:w="830" w:type="dxa"/>
            <w:tcBorders>
              <w:bottom w:val="double" w:sz="8" w:space="0" w:color="000000"/>
            </w:tcBorders>
            <w:vAlign w:val="bottom"/>
          </w:tcPr>
          <w:p>
            <w:pPr>
              <w:pStyle w:val="TableContents"/>
              <w:bidi w:val="0"/>
              <w:spacing w:before="0" w:after="0"/>
              <w:jc w:val="right"/>
              <w:rPr/>
            </w:pPr>
            <w:r>
              <w:rPr/>
              <w:t>178,588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bottom w:val="double" w:sz="8" w:space="0" w:color="000000"/>
            </w:tcBorders>
            <w:vAlign w:val="bottom"/>
          </w:tcPr>
          <w:p>
            <w:pPr>
              <w:pStyle w:val="TableContents"/>
              <w:bidi w:val="0"/>
              <w:spacing w:before="0" w:after="0"/>
              <w:jc w:val="left"/>
              <w:rPr/>
            </w:pPr>
            <w:r>
              <w:rPr/>
              <w:t>$</w:t>
            </w:r>
          </w:p>
        </w:tc>
        <w:tc>
          <w:tcPr>
            <w:tcW w:w="949" w:type="dxa"/>
            <w:tcBorders>
              <w:bottom w:val="double" w:sz="8" w:space="0" w:color="000000"/>
            </w:tcBorders>
            <w:vAlign w:val="bottom"/>
          </w:tcPr>
          <w:p>
            <w:pPr>
              <w:pStyle w:val="TableContents"/>
              <w:bidi w:val="0"/>
              <w:spacing w:before="0" w:after="0"/>
              <w:jc w:val="right"/>
              <w:rPr/>
            </w:pPr>
            <w:r>
              <w:rPr/>
              <w:t>9,791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bottom w:val="double" w:sz="8" w:space="0" w:color="000000"/>
            </w:tcBorders>
            <w:vAlign w:val="bottom"/>
          </w:tcPr>
          <w:p>
            <w:pPr>
              <w:pStyle w:val="TableContents"/>
              <w:bidi w:val="0"/>
              <w:spacing w:before="0" w:after="0"/>
              <w:jc w:val="left"/>
              <w:rPr/>
            </w:pPr>
            <w:r>
              <w:rPr/>
              <w:t>$</w:t>
            </w:r>
          </w:p>
        </w:tc>
        <w:tc>
          <w:tcPr>
            <w:tcW w:w="947" w:type="dxa"/>
            <w:tcBorders>
              <w:bottom w:val="double" w:sz="8" w:space="0" w:color="000000"/>
            </w:tcBorders>
            <w:vAlign w:val="bottom"/>
          </w:tcPr>
          <w:p>
            <w:pPr>
              <w:pStyle w:val="TableContents"/>
              <w:bidi w:val="0"/>
              <w:spacing w:before="0" w:after="0"/>
              <w:jc w:val="right"/>
              <w:rPr/>
            </w:pPr>
            <w:r>
              <w:rPr/>
              <w:t>124,078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bottom w:val="double" w:sz="8" w:space="0" w:color="000000"/>
            </w:tcBorders>
            <w:vAlign w:val="bottom"/>
          </w:tcPr>
          <w:p>
            <w:pPr>
              <w:pStyle w:val="TableContents"/>
              <w:bidi w:val="0"/>
              <w:spacing w:before="0" w:after="0"/>
              <w:jc w:val="left"/>
              <w:rPr/>
            </w:pPr>
            <w:r>
              <w:rPr/>
              <w:t>$</w:t>
            </w:r>
          </w:p>
        </w:tc>
        <w:tc>
          <w:tcPr>
            <w:tcW w:w="1130" w:type="dxa"/>
            <w:tcBorders>
              <w:bottom w:val="double" w:sz="8" w:space="0" w:color="000000"/>
            </w:tcBorders>
            <w:vAlign w:val="bottom"/>
          </w:tcPr>
          <w:p>
            <w:pPr>
              <w:pStyle w:val="TableContents"/>
              <w:bidi w:val="0"/>
              <w:spacing w:before="0" w:after="0"/>
              <w:jc w:val="right"/>
              <w:rPr/>
            </w:pPr>
            <w:r>
              <w:rPr/>
              <w:t>18,551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49,413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67,692</w:t>
            </w:r>
          </w:p>
        </w:tc>
        <w:tc>
          <w:tcPr>
            <w:tcW w:w="136"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97" w:name="ScheduleIV"/>
      <w:bookmarkEnd w:id="397"/>
      <w:r>
        <w:rPr>
          <w:rFonts w:ascii="Times New Roman" w:hAnsi="Times New Roman"/>
          <w:b/>
          <w:sz w:val="20"/>
        </w:rPr>
        <w:t>Schedule IV</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REINSURANCE INFORMATION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97"/>
        <w:gridCol w:w="90"/>
        <w:gridCol w:w="170"/>
        <w:gridCol w:w="1010"/>
        <w:gridCol w:w="90"/>
        <w:gridCol w:w="90"/>
        <w:gridCol w:w="211"/>
        <w:gridCol w:w="979"/>
        <w:gridCol w:w="125"/>
        <w:gridCol w:w="90"/>
        <w:gridCol w:w="239"/>
        <w:gridCol w:w="1007"/>
        <w:gridCol w:w="90"/>
        <w:gridCol w:w="90"/>
        <w:gridCol w:w="170"/>
        <w:gridCol w:w="1010"/>
        <w:gridCol w:w="90"/>
        <w:gridCol w:w="90"/>
        <w:gridCol w:w="188"/>
        <w:gridCol w:w="987"/>
        <w:gridCol w:w="292"/>
      </w:tblGrid>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Direct</w:t>
            </w:r>
          </w:p>
          <w:p>
            <w:pPr>
              <w:pStyle w:val="TableContents"/>
              <w:bidi w:val="0"/>
              <w:spacing w:before="0" w:after="0"/>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Ceded To</w:t>
            </w:r>
          </w:p>
          <w:p>
            <w:pPr>
              <w:pStyle w:val="TableContents"/>
              <w:bidi w:val="0"/>
              <w:spacing w:before="0" w:after="0"/>
              <w:jc w:val="center"/>
              <w:rPr>
                <w:b/>
              </w:rPr>
            </w:pPr>
            <w:r>
              <w:rPr>
                <w:b/>
              </w:rPr>
              <w:t>Other</w:t>
            </w:r>
          </w:p>
          <w:p>
            <w:pPr>
              <w:pStyle w:val="TableContents"/>
              <w:bidi w:val="0"/>
              <w:spacing w:before="0" w:after="0"/>
              <w:jc w:val="center"/>
              <w:rPr>
                <w:b/>
              </w:rPr>
            </w:pPr>
            <w:r>
              <w:rPr>
                <w:b/>
              </w:rPr>
              <w:t>Companies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0"/>
              <w:jc w:val="center"/>
              <w:rPr>
                <w:b/>
              </w:rPr>
            </w:pPr>
            <w:r>
              <w:rPr>
                <w:b/>
              </w:rPr>
              <w:t>Assumed</w:t>
            </w:r>
          </w:p>
          <w:p>
            <w:pPr>
              <w:pStyle w:val="TableContents"/>
              <w:bidi w:val="0"/>
              <w:spacing w:before="0" w:after="0"/>
              <w:jc w:val="center"/>
              <w:rPr>
                <w:b/>
              </w:rPr>
            </w:pPr>
            <w:r>
              <w:rPr>
                <w:b/>
              </w:rPr>
              <w:t>From Other</w:t>
            </w:r>
          </w:p>
          <w:p>
            <w:pPr>
              <w:pStyle w:val="TableContents"/>
              <w:bidi w:val="0"/>
              <w:spacing w:before="0" w:after="0"/>
              <w:jc w:val="center"/>
              <w:rPr>
                <w:b/>
              </w:rPr>
            </w:pPr>
            <w:r>
              <w:rPr>
                <w:b/>
              </w:rPr>
              <w:t>Companies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Amounts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b/>
              </w:rPr>
            </w:pPr>
            <w:r>
              <w:rPr>
                <w:b/>
              </w:rPr>
              <w:t>Percentage</w:t>
            </w:r>
          </w:p>
          <w:p>
            <w:pPr>
              <w:pStyle w:val="TableContents"/>
              <w:bidi w:val="0"/>
              <w:spacing w:before="0" w:after="0"/>
              <w:jc w:val="center"/>
              <w:rPr>
                <w:b/>
              </w:rPr>
            </w:pPr>
            <w:r>
              <w:rPr>
                <w:b/>
              </w:rPr>
              <w:t>of Amount</w:t>
            </w:r>
          </w:p>
          <w:p>
            <w:pPr>
              <w:pStyle w:val="TableContents"/>
              <w:bidi w:val="0"/>
              <w:spacing w:before="0" w:after="0"/>
              <w:jc w:val="center"/>
              <w:rPr>
                <w:b/>
              </w:rPr>
            </w:pPr>
            <w:r>
              <w:rPr>
                <w:b/>
              </w:rPr>
              <w:t>Assumed</w:t>
            </w:r>
          </w:p>
          <w:p>
            <w:pPr>
              <w:pStyle w:val="TableContents"/>
              <w:bidi w:val="0"/>
              <w:spacing w:before="0" w:after="0"/>
              <w:jc w:val="center"/>
              <w:rPr>
                <w:b/>
              </w:rPr>
            </w:pPr>
            <w:r>
              <w:rPr>
                <w:b/>
              </w:rPr>
              <w:t>To Net</w:t>
            </w:r>
          </w:p>
        </w:tc>
        <w:tc>
          <w:tcPr>
            <w:tcW w:w="292" w:type="dxa"/>
            <w:tcBorders/>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726" w:type="dxa"/>
            <w:gridSpan w:val="18"/>
            <w:tcBorders/>
            <w:vAlign w:val="bottom"/>
          </w:tcPr>
          <w:p>
            <w:pPr>
              <w:pStyle w:val="TableContents"/>
              <w:bidi w:val="0"/>
              <w:spacing w:before="0" w:after="0"/>
              <w:jc w:val="center"/>
              <w:rPr>
                <w:b/>
              </w:rPr>
            </w:pPr>
            <w:r>
              <w:rPr>
                <w:b/>
              </w:rPr>
              <w:t>(In thousands)</w:t>
            </w:r>
          </w:p>
        </w:tc>
        <w:tc>
          <w:tcPr>
            <w:tcW w:w="292" w:type="dxa"/>
            <w:tcBorders/>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Year Ended December 31, 2025:</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Life insurance in force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1,040,286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9" w:type="dxa"/>
            <w:tcBorders>
              <w:bottom w:val="double" w:sz="8" w:space="0" w:color="000000"/>
            </w:tcBorders>
            <w:shd w:fill="CCEEFF" w:val="clear"/>
            <w:tcMar>
              <w:bottom w:w="28" w:type="dxa"/>
            </w:tcMar>
            <w:vAlign w:val="bottom"/>
          </w:tcPr>
          <w:p>
            <w:pPr>
              <w:pStyle w:val="TableContents"/>
              <w:bidi w:val="0"/>
              <w:spacing w:before="0" w:after="0"/>
              <w:jc w:val="right"/>
              <w:rPr/>
            </w:pPr>
            <w:r>
              <w:rPr/>
              <w:t>(5,727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1,034,559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75" w:type="dxa"/>
            <w:gridSpan w:val="2"/>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75" w:type="dxa"/>
            <w:gridSpan w:val="2"/>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Bankers Fidelity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179,872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0"/>
              <w:jc w:val="left"/>
              <w:rPr/>
            </w:pPr>
            <w:r>
              <w:rPr/>
              <w:t>$</w:t>
            </w:r>
          </w:p>
        </w:tc>
        <w:tc>
          <w:tcPr>
            <w:tcW w:w="979" w:type="dxa"/>
            <w:tcBorders/>
            <w:vAlign w:val="bottom"/>
          </w:tcPr>
          <w:p>
            <w:pPr>
              <w:pStyle w:val="TableContents"/>
              <w:bidi w:val="0"/>
              <w:spacing w:before="0" w:after="0"/>
              <w:jc w:val="right"/>
              <w:rPr/>
            </w:pPr>
            <w:r>
              <w:rPr/>
              <w:t>(68,234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pPr>
            <w:r>
              <w:rPr/>
              <w:t>$</w:t>
            </w:r>
          </w:p>
        </w:tc>
        <w:tc>
          <w:tcPr>
            <w:tcW w:w="1007"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111,638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pPr>
            <w:r>
              <w:rPr/>
              <w:t>0.0</w:t>
            </w:r>
          </w:p>
        </w:tc>
        <w:tc>
          <w:tcPr>
            <w:tcW w:w="292" w:type="dxa"/>
            <w:tcBorders/>
            <w:vAlign w:val="bottom"/>
          </w:tcPr>
          <w:p>
            <w:pPr>
              <w:pStyle w:val="TableContents"/>
              <w:bidi w:val="0"/>
              <w:spacing w:before="0" w:after="0"/>
              <w:jc w:val="left"/>
              <w:rPr/>
            </w:pPr>
            <w:r>
              <w:rPr/>
              <w:t>%</w:t>
            </w:r>
          </w:p>
        </w:tc>
      </w:tr>
      <w:tr>
        <w:trPr/>
        <w:tc>
          <w:tcPr>
            <w:tcW w:w="3097" w:type="dxa"/>
            <w:tcBorders/>
            <w:shd w:fill="CCEEFF" w:val="clear"/>
            <w:vAlign w:val="bottom"/>
          </w:tcPr>
          <w:p>
            <w:pPr>
              <w:pStyle w:val="TableContents"/>
              <w:bidi w:val="0"/>
              <w:spacing w:before="0" w:after="0"/>
              <w:jc w:val="left"/>
              <w:rPr/>
            </w:pPr>
            <w:r>
              <w:rPr/>
              <w:t>American Southern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54,268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pPr>
            <w:r>
              <w:rPr/>
              <w:t>(6,165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pPr>
            <w:r>
              <w:rPr/>
              <w:t>36,401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84,504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bidi w:val="0"/>
              <w:spacing w:before="0" w:after="0"/>
              <w:jc w:val="right"/>
              <w:rPr/>
            </w:pPr>
            <w:r>
              <w:rPr/>
              <w:t>43.1</w:t>
            </w:r>
          </w:p>
        </w:tc>
        <w:tc>
          <w:tcPr>
            <w:tcW w:w="292" w:type="dxa"/>
            <w:tcBorders/>
            <w:shd w:fill="CCEEFF" w:val="clear"/>
            <w:vAlign w:val="bottom"/>
          </w:tcPr>
          <w:p>
            <w:pPr>
              <w:pStyle w:val="TableContents"/>
              <w:bidi w:val="0"/>
              <w:spacing w:before="0" w:after="0"/>
              <w:jc w:val="left"/>
              <w:rPr/>
            </w:pPr>
            <w:r>
              <w:rPr/>
              <w:t>%</w:t>
            </w:r>
          </w:p>
        </w:tc>
      </w:tr>
      <w:tr>
        <w:trPr/>
        <w:tc>
          <w:tcPr>
            <w:tcW w:w="3097" w:type="dxa"/>
            <w:tcBorders/>
            <w:vAlign w:val="bottom"/>
          </w:tcPr>
          <w:p>
            <w:pPr>
              <w:pStyle w:val="TableContents"/>
              <w:bidi w:val="0"/>
              <w:spacing w:before="0" w:after="0"/>
              <w:jc w:val="left"/>
              <w:rPr/>
            </w:pPr>
            <w:r>
              <w:rPr/>
              <w:t>Total premiums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234,140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979" w:type="dxa"/>
            <w:tcBorders>
              <w:bottom w:val="double" w:sz="8" w:space="0" w:color="000000"/>
            </w:tcBorders>
            <w:tcMar>
              <w:bottom w:w="28" w:type="dxa"/>
            </w:tcMar>
            <w:vAlign w:val="bottom"/>
          </w:tcPr>
          <w:p>
            <w:pPr>
              <w:pStyle w:val="TableContents"/>
              <w:bidi w:val="0"/>
              <w:spacing w:before="0" w:after="0"/>
              <w:jc w:val="right"/>
              <w:rPr/>
            </w:pPr>
            <w:r>
              <w:rPr/>
              <w:t>(74,399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bottom w:val="double" w:sz="8" w:space="0" w:color="000000"/>
            </w:tcBorders>
            <w:tcMar>
              <w:bottom w:w="28" w:type="dxa"/>
            </w:tcMar>
            <w:vAlign w:val="bottom"/>
          </w:tcPr>
          <w:p>
            <w:pPr>
              <w:pStyle w:val="TableContents"/>
              <w:bidi w:val="0"/>
              <w:spacing w:before="0" w:after="0"/>
              <w:jc w:val="left"/>
              <w:rPr/>
            </w:pPr>
            <w:r>
              <w:rPr/>
              <w:t>$</w:t>
            </w:r>
          </w:p>
        </w:tc>
        <w:tc>
          <w:tcPr>
            <w:tcW w:w="1007" w:type="dxa"/>
            <w:tcBorders>
              <w:bottom w:val="double" w:sz="8" w:space="0" w:color="000000"/>
            </w:tcBorders>
            <w:tcMar>
              <w:bottom w:w="28" w:type="dxa"/>
            </w:tcMar>
            <w:vAlign w:val="bottom"/>
          </w:tcPr>
          <w:p>
            <w:pPr>
              <w:pStyle w:val="TableContents"/>
              <w:bidi w:val="0"/>
              <w:spacing w:before="0" w:after="0"/>
              <w:jc w:val="right"/>
              <w:rPr/>
            </w:pPr>
            <w:r>
              <w:rPr/>
              <w:t>36,401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196,142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283"/>
              <w:jc w:val="left"/>
              <w:rPr/>
            </w:pPr>
            <w:r>
              <w:rPr/>
              <w:t> </w:t>
            </w:r>
          </w:p>
        </w:tc>
        <w:tc>
          <w:tcPr>
            <w:tcW w:w="987" w:type="dxa"/>
            <w:tcBorders>
              <w:bottom w:val="double" w:sz="8" w:space="0" w:color="000000"/>
            </w:tcBorders>
            <w:tcMar>
              <w:bottom w:w="28" w:type="dxa"/>
            </w:tcMar>
            <w:vAlign w:val="bottom"/>
          </w:tcPr>
          <w:p>
            <w:pPr>
              <w:pStyle w:val="TableContents"/>
              <w:bidi w:val="0"/>
              <w:spacing w:before="0" w:after="0"/>
              <w:jc w:val="right"/>
              <w:rPr/>
            </w:pPr>
            <w:r>
              <w:rPr/>
              <w:t>18.7</w:t>
            </w:r>
          </w:p>
        </w:tc>
        <w:tc>
          <w:tcPr>
            <w:tcW w:w="292" w:type="dxa"/>
            <w:tcBorders/>
            <w:vAlign w:val="bottom"/>
          </w:tcPr>
          <w:p>
            <w:pPr>
              <w:pStyle w:val="TableContents"/>
              <w:bidi w:val="0"/>
              <w:spacing w:before="0" w:after="0"/>
              <w:jc w:val="left"/>
              <w:rPr/>
            </w:pPr>
            <w:r>
              <w:rPr/>
              <w:t>%</w:t>
            </w:r>
          </w:p>
        </w:tc>
      </w:tr>
      <w:tr>
        <w:trPr/>
        <w:tc>
          <w:tcPr>
            <w:tcW w:w="309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Year Ended December 31, 2024 (Restated):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Life insurance in force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982,997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9" w:type="dxa"/>
            <w:tcBorders>
              <w:bottom w:val="double" w:sz="8" w:space="0" w:color="000000"/>
            </w:tcBorders>
            <w:shd w:fill="CCEEFF" w:val="clear"/>
            <w:tcMar>
              <w:bottom w:w="28" w:type="dxa"/>
            </w:tcMar>
            <w:vAlign w:val="bottom"/>
          </w:tcPr>
          <w:p>
            <w:pPr>
              <w:pStyle w:val="TableContents"/>
              <w:bidi w:val="0"/>
              <w:spacing w:before="0" w:after="0"/>
              <w:jc w:val="right"/>
              <w:rPr/>
            </w:pPr>
            <w:r>
              <w:rPr/>
              <w:t>(7,245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975,752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Bankers Fidelity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164,135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0"/>
              <w:jc w:val="left"/>
              <w:rPr/>
            </w:pPr>
            <w:r>
              <w:rPr/>
              <w:t>$</w:t>
            </w:r>
          </w:p>
        </w:tc>
        <w:tc>
          <w:tcPr>
            <w:tcW w:w="979" w:type="dxa"/>
            <w:tcBorders/>
            <w:vAlign w:val="bottom"/>
          </w:tcPr>
          <w:p>
            <w:pPr>
              <w:pStyle w:val="TableContents"/>
              <w:bidi w:val="0"/>
              <w:spacing w:before="0" w:after="0"/>
              <w:jc w:val="right"/>
              <w:rPr/>
            </w:pPr>
            <w:r>
              <w:rPr/>
              <w:t>(53,236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pPr>
            <w:r>
              <w:rPr/>
              <w:t>$</w:t>
            </w:r>
          </w:p>
        </w:tc>
        <w:tc>
          <w:tcPr>
            <w:tcW w:w="1007"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110,899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pPr>
            <w:r>
              <w:rPr/>
              <w:t>0.0</w:t>
            </w:r>
          </w:p>
        </w:tc>
        <w:tc>
          <w:tcPr>
            <w:tcW w:w="292" w:type="dxa"/>
            <w:tcBorders/>
            <w:vAlign w:val="bottom"/>
          </w:tcPr>
          <w:p>
            <w:pPr>
              <w:pStyle w:val="TableContents"/>
              <w:bidi w:val="0"/>
              <w:spacing w:before="0" w:after="0"/>
              <w:jc w:val="left"/>
              <w:rPr/>
            </w:pPr>
            <w:r>
              <w:rPr/>
              <w:t>%</w:t>
            </w:r>
          </w:p>
        </w:tc>
      </w:tr>
      <w:tr>
        <w:trPr/>
        <w:tc>
          <w:tcPr>
            <w:tcW w:w="3097" w:type="dxa"/>
            <w:tcBorders/>
            <w:shd w:fill="CCEEFF" w:val="clear"/>
            <w:vAlign w:val="bottom"/>
          </w:tcPr>
          <w:p>
            <w:pPr>
              <w:pStyle w:val="TableContents"/>
              <w:bidi w:val="0"/>
              <w:spacing w:before="0" w:after="0"/>
              <w:jc w:val="left"/>
              <w:rPr/>
            </w:pPr>
            <w:r>
              <w:rPr/>
              <w:t>American Southern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46,149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pPr>
            <w:r>
              <w:rPr/>
              <w:t>(5,979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pPr>
            <w:r>
              <w:rPr/>
              <w:t>27,519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67,689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bidi w:val="0"/>
              <w:spacing w:before="0" w:after="0"/>
              <w:jc w:val="right"/>
              <w:rPr/>
            </w:pPr>
            <w:r>
              <w:rPr/>
              <w:t>40.7</w:t>
            </w:r>
          </w:p>
        </w:tc>
        <w:tc>
          <w:tcPr>
            <w:tcW w:w="292" w:type="dxa"/>
            <w:tcBorders/>
            <w:shd w:fill="CCEEFF" w:val="clear"/>
            <w:vAlign w:val="bottom"/>
          </w:tcPr>
          <w:p>
            <w:pPr>
              <w:pStyle w:val="TableContents"/>
              <w:bidi w:val="0"/>
              <w:spacing w:before="0" w:after="0"/>
              <w:jc w:val="left"/>
              <w:rPr/>
            </w:pPr>
            <w:r>
              <w:rPr/>
              <w:t>%</w:t>
            </w:r>
          </w:p>
        </w:tc>
      </w:tr>
      <w:tr>
        <w:trPr/>
        <w:tc>
          <w:tcPr>
            <w:tcW w:w="3097" w:type="dxa"/>
            <w:tcBorders/>
            <w:vAlign w:val="bottom"/>
          </w:tcPr>
          <w:p>
            <w:pPr>
              <w:pStyle w:val="TableContents"/>
              <w:bidi w:val="0"/>
              <w:spacing w:before="0" w:after="0"/>
              <w:jc w:val="left"/>
              <w:rPr/>
            </w:pPr>
            <w:r>
              <w:rPr/>
              <w:t>Total premiums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210,284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979" w:type="dxa"/>
            <w:tcBorders>
              <w:bottom w:val="double" w:sz="8" w:space="0" w:color="000000"/>
            </w:tcBorders>
            <w:tcMar>
              <w:bottom w:w="28" w:type="dxa"/>
            </w:tcMar>
            <w:vAlign w:val="bottom"/>
          </w:tcPr>
          <w:p>
            <w:pPr>
              <w:pStyle w:val="TableContents"/>
              <w:bidi w:val="0"/>
              <w:spacing w:before="0" w:after="0"/>
              <w:jc w:val="right"/>
              <w:rPr/>
            </w:pPr>
            <w:r>
              <w:rPr/>
              <w:t>(59,215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bottom w:val="double" w:sz="8" w:space="0" w:color="000000"/>
            </w:tcBorders>
            <w:tcMar>
              <w:bottom w:w="28" w:type="dxa"/>
            </w:tcMar>
            <w:vAlign w:val="bottom"/>
          </w:tcPr>
          <w:p>
            <w:pPr>
              <w:pStyle w:val="TableContents"/>
              <w:bidi w:val="0"/>
              <w:spacing w:before="0" w:after="0"/>
              <w:jc w:val="left"/>
              <w:rPr/>
            </w:pPr>
            <w:r>
              <w:rPr/>
              <w:t>$</w:t>
            </w:r>
          </w:p>
        </w:tc>
        <w:tc>
          <w:tcPr>
            <w:tcW w:w="1007" w:type="dxa"/>
            <w:tcBorders>
              <w:bottom w:val="double" w:sz="8" w:space="0" w:color="000000"/>
            </w:tcBorders>
            <w:tcMar>
              <w:bottom w:w="28" w:type="dxa"/>
            </w:tcMar>
            <w:vAlign w:val="bottom"/>
          </w:tcPr>
          <w:p>
            <w:pPr>
              <w:pStyle w:val="TableContents"/>
              <w:bidi w:val="0"/>
              <w:spacing w:before="0" w:after="0"/>
              <w:jc w:val="right"/>
              <w:rPr/>
            </w:pPr>
            <w:r>
              <w:rPr/>
              <w:t>27,519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178,588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283"/>
              <w:jc w:val="left"/>
              <w:rPr/>
            </w:pPr>
            <w:r>
              <w:rPr/>
              <w:t> </w:t>
            </w:r>
          </w:p>
        </w:tc>
        <w:tc>
          <w:tcPr>
            <w:tcW w:w="987" w:type="dxa"/>
            <w:tcBorders>
              <w:bottom w:val="double" w:sz="8" w:space="0" w:color="000000"/>
            </w:tcBorders>
            <w:tcMar>
              <w:bottom w:w="28" w:type="dxa"/>
            </w:tcMar>
            <w:vAlign w:val="bottom"/>
          </w:tcPr>
          <w:p>
            <w:pPr>
              <w:pStyle w:val="TableContents"/>
              <w:bidi w:val="0"/>
              <w:spacing w:before="0" w:after="0"/>
              <w:jc w:val="right"/>
              <w:rPr/>
            </w:pPr>
            <w:r>
              <w:rPr/>
              <w:t>15.4</w:t>
            </w:r>
          </w:p>
        </w:tc>
        <w:tc>
          <w:tcPr>
            <w:tcW w:w="292"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98" w:name="ScheduleVI"/>
      <w:bookmarkEnd w:id="398"/>
      <w:r>
        <w:rPr>
          <w:rFonts w:ascii="Times New Roman" w:hAnsi="Times New Roman"/>
          <w:b/>
          <w:sz w:val="20"/>
        </w:rPr>
        <w:t>Schedule VI</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SUPPLEMENTAL INFORMATION CONCERNING</w:t>
      </w:r>
    </w:p>
    <w:p>
      <w:pPr>
        <w:pStyle w:val="TextBody"/>
        <w:bidi w:val="0"/>
        <w:spacing w:before="0" w:after="0"/>
        <w:jc w:val="center"/>
        <w:rPr>
          <w:rFonts w:ascii="Times New Roman" w:hAnsi="Times New Roman"/>
          <w:b/>
          <w:sz w:val="20"/>
        </w:rPr>
      </w:pPr>
      <w:r>
        <w:rPr>
          <w:rFonts w:ascii="Times New Roman" w:hAnsi="Times New Roman"/>
          <w:b/>
          <w:sz w:val="20"/>
        </w:rPr>
        <w:t>PROPERTY-CASUALTY INSURANCE OPERATIONS</w:t>
      </w:r>
    </w:p>
    <w:p>
      <w:pPr>
        <w:pStyle w:val="TextBody"/>
        <w:bidi w:val="0"/>
        <w:spacing w:before="0" w:after="0"/>
        <w:jc w:val="left"/>
        <w:rPr/>
      </w:pPr>
      <w:r>
        <w:rPr/>
      </w:r>
    </w:p>
    <w:tbl>
      <w:tblPr>
        <w:tblW w:w="13560" w:type="dxa"/>
        <w:jc w:val="left"/>
        <w:tblInd w:w="0" w:type="dxa"/>
        <w:tblLayout w:type="fixed"/>
        <w:tblCellMar>
          <w:top w:w="0" w:type="dxa"/>
          <w:left w:w="0" w:type="dxa"/>
          <w:bottom w:w="0" w:type="dxa"/>
          <w:right w:w="0" w:type="dxa"/>
        </w:tblCellMar>
      </w:tblPr>
      <w:tblGrid>
        <w:gridCol w:w="845"/>
        <w:gridCol w:w="90"/>
        <w:gridCol w:w="269"/>
        <w:gridCol w:w="936"/>
        <w:gridCol w:w="90"/>
        <w:gridCol w:w="90"/>
        <w:gridCol w:w="183"/>
        <w:gridCol w:w="767"/>
        <w:gridCol w:w="90"/>
        <w:gridCol w:w="90"/>
        <w:gridCol w:w="209"/>
        <w:gridCol w:w="876"/>
        <w:gridCol w:w="90"/>
        <w:gridCol w:w="90"/>
        <w:gridCol w:w="209"/>
        <w:gridCol w:w="876"/>
        <w:gridCol w:w="90"/>
        <w:gridCol w:w="90"/>
        <w:gridCol w:w="262"/>
        <w:gridCol w:w="913"/>
        <w:gridCol w:w="90"/>
        <w:gridCol w:w="90"/>
        <w:gridCol w:w="180"/>
        <w:gridCol w:w="710"/>
        <w:gridCol w:w="90"/>
        <w:gridCol w:w="90"/>
        <w:gridCol w:w="170"/>
        <w:gridCol w:w="590"/>
        <w:gridCol w:w="90"/>
        <w:gridCol w:w="90"/>
        <w:gridCol w:w="313"/>
        <w:gridCol w:w="1087"/>
        <w:gridCol w:w="90"/>
        <w:gridCol w:w="90"/>
        <w:gridCol w:w="241"/>
        <w:gridCol w:w="1009"/>
        <w:gridCol w:w="90"/>
        <w:gridCol w:w="90"/>
        <w:gridCol w:w="209"/>
        <w:gridCol w:w="876"/>
        <w:gridCol w:w="120"/>
      </w:tblGrid>
      <w:tr>
        <w:trPr/>
        <w:tc>
          <w:tcPr>
            <w:tcW w:w="8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Claims and Claim</w:t>
            </w:r>
          </w:p>
          <w:p>
            <w:pPr>
              <w:pStyle w:val="TableContents"/>
              <w:bidi w:val="0"/>
              <w:spacing w:before="0" w:after="0"/>
              <w:jc w:val="center"/>
              <w:rPr>
                <w:b/>
              </w:rPr>
            </w:pPr>
            <w:r>
              <w:rPr>
                <w:b/>
              </w:rPr>
              <w:t>Adjustment</w:t>
            </w:r>
          </w:p>
          <w:p>
            <w:pPr>
              <w:pStyle w:val="TableContents"/>
              <w:bidi w:val="0"/>
              <w:spacing w:before="0" w:after="0"/>
              <w:jc w:val="center"/>
              <w:rPr>
                <w:b/>
              </w:rPr>
            </w:pPr>
            <w:r>
              <w:rPr>
                <w:b/>
              </w:rPr>
              <w:t>Expenses Incurred</w:t>
            </w:r>
          </w:p>
          <w:p>
            <w:pPr>
              <w:pStyle w:val="TableContents"/>
              <w:bidi w:val="0"/>
              <w:spacing w:before="0" w:after="0"/>
              <w:jc w:val="center"/>
              <w:rPr>
                <w:b/>
              </w:rPr>
            </w:pPr>
            <w:r>
              <w:rPr>
                <w:b/>
              </w:rPr>
              <w:t>Related To</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845" w:type="dxa"/>
            <w:tcBorders>
              <w:bottom w:val="single" w:sz="12" w:space="0" w:color="000000"/>
            </w:tcBorders>
            <w:tcMar>
              <w:bottom w:w="28" w:type="dxa"/>
            </w:tcMar>
            <w:vAlign w:val="center"/>
          </w:tcPr>
          <w:p>
            <w:pPr>
              <w:pStyle w:val="TableContents"/>
              <w:bidi w:val="0"/>
              <w:spacing w:before="0" w:after="0"/>
              <w:jc w:val="left"/>
              <w:rPr>
                <w:b/>
              </w:rPr>
            </w:pPr>
            <w:r>
              <w:rPr>
                <w:b/>
              </w:rPr>
              <w:t>Year Ended</w:t>
            </w:r>
          </w:p>
        </w:tc>
        <w:tc>
          <w:tcPr>
            <w:tcW w:w="9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0"/>
              <w:jc w:val="center"/>
              <w:rPr>
                <w:b/>
              </w:rPr>
            </w:pPr>
            <w:r>
              <w:rPr>
                <w:b/>
              </w:rPr>
              <w:t>Deferred</w:t>
            </w:r>
          </w:p>
          <w:p>
            <w:pPr>
              <w:pStyle w:val="TableContents"/>
              <w:bidi w:val="0"/>
              <w:spacing w:before="0" w:after="0"/>
              <w:jc w:val="center"/>
              <w:rPr>
                <w:b/>
              </w:rPr>
            </w:pPr>
            <w:r>
              <w:rPr>
                <w:b/>
              </w:rPr>
              <w:t>Policy</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b/>
              </w:rPr>
            </w:pPr>
            <w:r>
              <w:rPr>
                <w:b/>
              </w:rPr>
              <w:t>Reserves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b/>
              </w:rPr>
            </w:pPr>
            <w:r>
              <w:rPr>
                <w:b/>
              </w:rPr>
              <w:t>Unearned</w:t>
            </w:r>
          </w:p>
          <w:p>
            <w:pPr>
              <w:pStyle w:val="TableContents"/>
              <w:bidi w:val="0"/>
              <w:spacing w:before="0" w:after="0"/>
              <w:jc w:val="center"/>
              <w:rPr>
                <w:b/>
              </w:rPr>
            </w:pPr>
            <w:r>
              <w:rPr>
                <w:b/>
              </w:rPr>
              <w:t>Premiums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b/>
              </w:rPr>
            </w:pPr>
            <w:r>
              <w:rPr>
                <w:b/>
              </w:rPr>
              <w:t>Earned</w:t>
            </w:r>
          </w:p>
          <w:p>
            <w:pPr>
              <w:pStyle w:val="TableContents"/>
              <w:bidi w:val="0"/>
              <w:spacing w:before="0" w:after="0"/>
              <w:jc w:val="center"/>
              <w:rPr>
                <w:b/>
              </w:rPr>
            </w:pPr>
            <w:r>
              <w:rPr>
                <w:b/>
              </w:rPr>
              <w:t>Premiums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Investment</w:t>
            </w:r>
          </w:p>
          <w:p>
            <w:pPr>
              <w:pStyle w:val="TableContents"/>
              <w:bidi w:val="0"/>
              <w:spacing w:before="0" w:after="0"/>
              <w:jc w:val="center"/>
              <w:rPr>
                <w:b/>
              </w:rPr>
            </w:pPr>
            <w:r>
              <w:rPr>
                <w:b/>
              </w:rPr>
              <w:t>Income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Current</w:t>
            </w:r>
          </w:p>
          <w:p>
            <w:pPr>
              <w:pStyle w:val="TableContents"/>
              <w:bidi w:val="0"/>
              <w:spacing w:before="0" w:after="0"/>
              <w:jc w:val="center"/>
              <w:rPr>
                <w:b/>
              </w:rPr>
            </w:pPr>
            <w:r>
              <w:rPr>
                <w:b/>
              </w:rPr>
              <w:t>Year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Prior</w:t>
            </w:r>
          </w:p>
          <w:p>
            <w:pPr>
              <w:pStyle w:val="TableContents"/>
              <w:bidi w:val="0"/>
              <w:spacing w:before="0" w:after="0"/>
              <w:jc w:val="center"/>
              <w:rPr>
                <w:b/>
              </w:rPr>
            </w:pPr>
            <w:r>
              <w:rPr>
                <w:b/>
              </w:rPr>
              <w:t>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Amortization</w:t>
            </w:r>
          </w:p>
          <w:p>
            <w:pPr>
              <w:pStyle w:val="TableContents"/>
              <w:bidi w:val="0"/>
              <w:spacing w:before="0" w:after="0"/>
              <w:jc w:val="center"/>
              <w:rPr>
                <w:b/>
              </w:rPr>
            </w:pPr>
            <w:r>
              <w:rPr>
                <w:b/>
              </w:rPr>
              <w:t>of Deferred</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jc w:val="center"/>
              <w:rPr>
                <w:b/>
              </w:rPr>
            </w:pPr>
            <w:r>
              <w:rPr>
                <w:b/>
              </w:rPr>
              <w:t>Paid Claims</w:t>
            </w:r>
          </w:p>
          <w:p>
            <w:pPr>
              <w:pStyle w:val="TableContents"/>
              <w:bidi w:val="0"/>
              <w:spacing w:before="0" w:after="0"/>
              <w:jc w:val="center"/>
              <w:rPr>
                <w:b/>
              </w:rPr>
            </w:pPr>
            <w:r>
              <w:rPr>
                <w:b/>
              </w:rPr>
              <w:t>and Claim</w:t>
            </w:r>
          </w:p>
          <w:p>
            <w:pPr>
              <w:pStyle w:val="TableContents"/>
              <w:bidi w:val="0"/>
              <w:spacing w:before="0" w:after="0"/>
              <w:jc w:val="center"/>
              <w:rPr>
                <w:b/>
              </w:rPr>
            </w:pPr>
            <w:r>
              <w:rPr>
                <w:b/>
              </w:rPr>
              <w:t>Adjustment</w:t>
            </w:r>
          </w:p>
          <w:p>
            <w:pPr>
              <w:pStyle w:val="TableContents"/>
              <w:bidi w:val="0"/>
              <w:spacing w:before="0" w:after="0"/>
              <w:jc w:val="center"/>
              <w:rPr>
                <w:b/>
              </w:rPr>
            </w:pPr>
            <w:r>
              <w:rPr>
                <w:b/>
              </w:rPr>
              <w:t>Expenses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Premiums</w:t>
            </w:r>
          </w:p>
          <w:p>
            <w:pPr>
              <w:pStyle w:val="TableContents"/>
              <w:bidi w:val="0"/>
              <w:spacing w:before="0" w:after="0"/>
              <w:jc w:val="center"/>
              <w:rPr>
                <w:b/>
              </w:rPr>
            </w:pPr>
            <w:r>
              <w:rPr>
                <w:b/>
              </w:rPr>
              <w:t>Written</w:t>
            </w:r>
          </w:p>
        </w:tc>
        <w:tc>
          <w:tcPr>
            <w:tcW w:w="120" w:type="dxa"/>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5" w:type="dxa"/>
            <w:gridSpan w:val="38"/>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845" w:type="dxa"/>
            <w:tcBorders/>
            <w:shd w:fill="CCEEFF" w:val="clear"/>
            <w:vAlign w:val="bottom"/>
          </w:tcPr>
          <w:p>
            <w:pPr>
              <w:pStyle w:val="TableContents"/>
              <w:bidi w:val="0"/>
              <w:spacing w:before="0" w:after="0"/>
              <w:ind w:left="180" w:right="0" w:hanging="180"/>
              <w:jc w:val="left"/>
              <w:rPr/>
            </w:pPr>
            <w:r>
              <w:rPr/>
              <w:t>December 31, 2025</w:t>
            </w:r>
          </w:p>
        </w:tc>
        <w:tc>
          <w:tcPr>
            <w:tcW w:w="90" w:type="dxa"/>
            <w:tcBorders/>
            <w:shd w:fill="CCEEFF" w:val="clear"/>
            <w:vAlign w:val="bottom"/>
          </w:tcPr>
          <w:p>
            <w:pPr>
              <w:pStyle w:val="TableContents"/>
              <w:bidi w:val="0"/>
              <w:spacing w:before="0" w:after="283"/>
              <w:jc w:val="left"/>
              <w:rPr/>
            </w:pPr>
            <w:r>
              <w:rPr/>
              <w:t> </w:t>
            </w:r>
          </w:p>
        </w:tc>
        <w:tc>
          <w:tcPr>
            <w:tcW w:w="26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2,755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pPr>
            <w:r>
              <w:rPr/>
              <w:t>82,818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34,688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84,504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3" w:type="dxa"/>
            <w:tcBorders>
              <w:bottom w:val="double" w:sz="8" w:space="0" w:color="000000"/>
            </w:tcBorders>
            <w:shd w:fill="CCEEFF" w:val="clear"/>
            <w:tcMar>
              <w:bottom w:w="28" w:type="dxa"/>
            </w:tcMar>
            <w:vAlign w:val="bottom"/>
          </w:tcPr>
          <w:p>
            <w:pPr>
              <w:pStyle w:val="TableContents"/>
              <w:bidi w:val="0"/>
              <w:spacing w:before="0" w:after="0"/>
              <w:jc w:val="right"/>
              <w:rPr/>
            </w:pPr>
            <w:r>
              <w:rPr/>
              <w:t>4,357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62,274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2,980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87" w:type="dxa"/>
            <w:tcBorders>
              <w:bottom w:val="double" w:sz="8" w:space="0" w:color="000000"/>
            </w:tcBorders>
            <w:shd w:fill="CCEEFF" w:val="clear"/>
            <w:tcMar>
              <w:bottom w:w="28" w:type="dxa"/>
            </w:tcMar>
            <w:vAlign w:val="bottom"/>
          </w:tcPr>
          <w:p>
            <w:pPr>
              <w:pStyle w:val="TableContents"/>
              <w:bidi w:val="0"/>
              <w:spacing w:before="0" w:after="0"/>
              <w:jc w:val="right"/>
              <w:rPr/>
            </w:pPr>
            <w:r>
              <w:rPr/>
              <w:t>9,745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9" w:type="dxa"/>
            <w:tcBorders>
              <w:bottom w:val="double" w:sz="8" w:space="0" w:color="000000"/>
            </w:tcBorders>
            <w:shd w:fill="CCEEFF" w:val="clear"/>
            <w:tcMar>
              <w:bottom w:w="28" w:type="dxa"/>
            </w:tcMar>
            <w:vAlign w:val="bottom"/>
          </w:tcPr>
          <w:p>
            <w:pPr>
              <w:pStyle w:val="TableContents"/>
              <w:bidi w:val="0"/>
              <w:spacing w:before="0" w:after="0"/>
              <w:jc w:val="right"/>
              <w:rPr/>
            </w:pPr>
            <w:r>
              <w:rPr/>
              <w:t>49,362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90,434</w:t>
            </w:r>
          </w:p>
        </w:tc>
        <w:tc>
          <w:tcPr>
            <w:tcW w:w="120" w:type="dxa"/>
            <w:tcBorders/>
            <w:shd w:fill="CCEEFF" w:val="clear"/>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845" w:type="dxa"/>
            <w:tcBorders/>
            <w:shd w:fill="CCEEFF" w:val="clear"/>
            <w:vAlign w:val="bottom"/>
          </w:tcPr>
          <w:p>
            <w:pPr>
              <w:pStyle w:val="TableContents"/>
              <w:bidi w:val="0"/>
              <w:spacing w:before="0" w:after="0"/>
              <w:ind w:left="180" w:right="0" w:hanging="180"/>
              <w:jc w:val="left"/>
              <w:rPr/>
            </w:pPr>
            <w:r>
              <w:rPr/>
              <w:t>December 31, 2024</w:t>
            </w:r>
          </w:p>
        </w:tc>
        <w:tc>
          <w:tcPr>
            <w:tcW w:w="90" w:type="dxa"/>
            <w:tcBorders/>
            <w:shd w:fill="CCEEFF" w:val="clear"/>
            <w:vAlign w:val="bottom"/>
          </w:tcPr>
          <w:p>
            <w:pPr>
              <w:pStyle w:val="TableContents"/>
              <w:bidi w:val="0"/>
              <w:spacing w:before="0" w:after="283"/>
              <w:jc w:val="left"/>
              <w:rPr/>
            </w:pPr>
            <w:r>
              <w:rPr/>
              <w:t> </w:t>
            </w:r>
          </w:p>
        </w:tc>
        <w:tc>
          <w:tcPr>
            <w:tcW w:w="26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2,866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pPr>
            <w:r>
              <w:rPr/>
              <w:t>67,814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28,758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67,689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3" w:type="dxa"/>
            <w:tcBorders>
              <w:bottom w:val="double" w:sz="8" w:space="0" w:color="000000"/>
            </w:tcBorders>
            <w:shd w:fill="CCEEFF" w:val="clear"/>
            <w:tcMar>
              <w:bottom w:w="28" w:type="dxa"/>
            </w:tcMar>
            <w:vAlign w:val="bottom"/>
          </w:tcPr>
          <w:p>
            <w:pPr>
              <w:pStyle w:val="TableContents"/>
              <w:bidi w:val="0"/>
              <w:spacing w:before="0" w:after="0"/>
              <w:jc w:val="right"/>
              <w:rPr/>
            </w:pPr>
            <w:r>
              <w:rPr/>
              <w:t>4,151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49,904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5,863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87" w:type="dxa"/>
            <w:tcBorders>
              <w:bottom w:val="double" w:sz="8" w:space="0" w:color="000000"/>
            </w:tcBorders>
            <w:shd w:fill="CCEEFF" w:val="clear"/>
            <w:tcMar>
              <w:bottom w:w="28" w:type="dxa"/>
            </w:tcMar>
            <w:vAlign w:val="bottom"/>
          </w:tcPr>
          <w:p>
            <w:pPr>
              <w:pStyle w:val="TableContents"/>
              <w:bidi w:val="0"/>
              <w:spacing w:before="0" w:after="0"/>
              <w:jc w:val="right"/>
              <w:rPr/>
            </w:pPr>
            <w:r>
              <w:rPr/>
              <w:t>8,332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9" w:type="dxa"/>
            <w:tcBorders>
              <w:bottom w:val="double" w:sz="8" w:space="0" w:color="000000"/>
            </w:tcBorders>
            <w:shd w:fill="CCEEFF" w:val="clear"/>
            <w:tcMar>
              <w:bottom w:w="28" w:type="dxa"/>
            </w:tcMar>
            <w:vAlign w:val="bottom"/>
          </w:tcPr>
          <w:p>
            <w:pPr>
              <w:pStyle w:val="TableContents"/>
              <w:bidi w:val="0"/>
              <w:spacing w:before="0" w:after="0"/>
              <w:jc w:val="right"/>
              <w:rPr/>
            </w:pPr>
            <w:r>
              <w:rPr/>
              <w:t>53,972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67,692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bidi w:val="0"/>
        <w:jc w:val="left"/>
        <w:rPr/>
      </w:pPr>
      <w:r>
        <w:rPr/>
      </w:r>
    </w:p>
    <w:p>
      <w:pPr>
        <w:pStyle w:val="HorizontalLine"/>
        <w:bidi w:val="0"/>
        <w:jc w:val="left"/>
        <w:rPr/>
      </w:pPr>
      <w:r>
        <w:rPr/>
      </w:r>
      <w:bookmarkStart w:id="399" w:name="ef20083985_ex21-1.htm"/>
      <w:bookmarkStart w:id="400" w:name="ksef20083985_ex211"/>
      <w:bookmarkStart w:id="401" w:name="ef20083985_ex21-1.htm"/>
      <w:bookmarkStart w:id="402" w:name="ksef20083985_ex211"/>
      <w:bookmarkEnd w:id="401"/>
      <w:bookmarkEnd w:id="402"/>
      <w:r>
        <w:br w:type="page"/>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EXHIBIT 21.1</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3" w:name="zfa1ce91cf2854a4989f50f83b88a7e61"/>
      <w:bookmarkStart w:id="404" w:name="zfa1ce91cf2854a4989f50f83b88a7e61"/>
      <w:bookmarkEnd w:id="404"/>
    </w:p>
    <w:tbl>
      <w:tblPr>
        <w:tblW w:w="6160" w:type="dxa"/>
        <w:jc w:val="left"/>
        <w:tblInd w:w="0" w:type="dxa"/>
        <w:tblLayout w:type="fixed"/>
        <w:tblCellMar>
          <w:top w:w="0" w:type="dxa"/>
          <w:left w:w="0" w:type="dxa"/>
          <w:bottom w:w="0" w:type="dxa"/>
          <w:right w:w="0" w:type="dxa"/>
        </w:tblCellMar>
      </w:tblPr>
      <w:tblGrid>
        <w:gridCol w:w="4025"/>
        <w:gridCol w:w="2135"/>
      </w:tblGrid>
      <w:tr>
        <w:trPr/>
        <w:tc>
          <w:tcPr>
            <w:tcW w:w="4025" w:type="dxa"/>
            <w:tcBorders/>
            <w:vAlign w:val="center"/>
          </w:tcPr>
          <w:p>
            <w:pPr>
              <w:pStyle w:val="TableContents"/>
              <w:bidi w:val="0"/>
              <w:spacing w:before="0" w:after="0"/>
              <w:jc w:val="left"/>
              <w:rPr>
                <w:color w:val="000000"/>
              </w:rPr>
            </w:pPr>
            <w:r>
              <w:rPr>
                <w:color w:val="000000"/>
              </w:rPr>
              <w:t>Subsidiaries of the Registrant</w:t>
            </w:r>
          </w:p>
          <w:p>
            <w:pPr>
              <w:pStyle w:val="TableContents"/>
              <w:bidi w:val="0"/>
              <w:spacing w:before="0" w:after="0"/>
              <w:jc w:val="left"/>
              <w:rPr>
                <w:color w:val="000000"/>
              </w:rPr>
            </w:pPr>
            <w:r>
              <w:rPr>
                <w:color w:val="000000"/>
              </w:rPr>
              <w:t>Subsidiary</w:t>
            </w:r>
          </w:p>
        </w:tc>
        <w:tc>
          <w:tcPr>
            <w:tcW w:w="2135" w:type="dxa"/>
            <w:tcBorders/>
            <w:vAlign w:val="center"/>
          </w:tcPr>
          <w:p>
            <w:pPr>
              <w:pStyle w:val="TableContents"/>
              <w:bidi w:val="0"/>
              <w:spacing w:before="0" w:after="0"/>
              <w:jc w:val="left"/>
              <w:rPr>
                <w:color w:val="000000"/>
              </w:rPr>
            </w:pPr>
            <w:r>
              <w:rPr>
                <w:color w:val="000000"/>
              </w:rPr>
              <w:t>State of Incorporation</w:t>
            </w:r>
          </w:p>
        </w:tc>
      </w:tr>
      <w:tr>
        <w:trPr/>
        <w:tc>
          <w:tcPr>
            <w:tcW w:w="402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color w:val="000000"/>
              </w:rPr>
            </w:pPr>
            <w:r>
              <w:rPr>
                <w:color w:val="000000"/>
              </w:rPr>
              <w:t>American Safety Insurance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American Southern Insurance Company</w:t>
            </w:r>
          </w:p>
        </w:tc>
        <w:tc>
          <w:tcPr>
            <w:tcW w:w="2135" w:type="dxa"/>
            <w:tcBorders/>
            <w:vAlign w:val="center"/>
          </w:tcPr>
          <w:p>
            <w:pPr>
              <w:pStyle w:val="TableContents"/>
              <w:bidi w:val="0"/>
              <w:spacing w:before="0" w:after="0"/>
              <w:jc w:val="center"/>
              <w:rPr>
                <w:color w:val="000000"/>
              </w:rPr>
            </w:pPr>
            <w:r>
              <w:rPr>
                <w:color w:val="000000"/>
              </w:rPr>
              <w:t>Kansas</w:t>
            </w:r>
          </w:p>
        </w:tc>
      </w:tr>
      <w:tr>
        <w:trPr/>
        <w:tc>
          <w:tcPr>
            <w:tcW w:w="4025" w:type="dxa"/>
            <w:tcBorders/>
            <w:vAlign w:val="center"/>
          </w:tcPr>
          <w:p>
            <w:pPr>
              <w:pStyle w:val="TableContents"/>
              <w:bidi w:val="0"/>
              <w:spacing w:before="0" w:after="0"/>
              <w:jc w:val="left"/>
              <w:rPr>
                <w:color w:val="000000"/>
              </w:rPr>
            </w:pPr>
            <w:r>
              <w:rPr>
                <w:color w:val="000000"/>
              </w:rPr>
              <w:t>Bankers Fidelity Life Insurance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Bankers Fidelity Assurance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Atlantic Capital Life Assurance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xCalibre Risk Services, Inc.</w:t>
            </w:r>
          </w:p>
        </w:tc>
        <w:tc>
          <w:tcPr>
            <w:tcW w:w="2135" w:type="dxa"/>
            <w:tcBorders/>
            <w:vAlign w:val="center"/>
          </w:tcPr>
          <w:p>
            <w:pPr>
              <w:pStyle w:val="TableContents"/>
              <w:bidi w:val="0"/>
              <w:spacing w:before="0" w:after="0"/>
              <w:jc w:val="center"/>
              <w:rPr>
                <w:color w:val="000000"/>
              </w:rPr>
            </w:pPr>
            <w:r>
              <w:rPr>
                <w:color w:val="000000"/>
              </w:rPr>
              <w:t>Georgia</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bidi w:val="0"/>
        <w:jc w:val="left"/>
        <w:rPr/>
      </w:pPr>
      <w:r>
        <w:rPr/>
      </w:r>
      <w:bookmarkStart w:id="405" w:name="ef20083985_ex23-1.htm"/>
      <w:bookmarkStart w:id="406" w:name="ksef20083985_ex231"/>
      <w:bookmarkStart w:id="407" w:name="ef20083985_ex23-1.htm"/>
      <w:bookmarkStart w:id="408" w:name="ksef20083985_ex231"/>
      <w:bookmarkEnd w:id="407"/>
      <w:bookmarkEnd w:id="408"/>
      <w:r>
        <w:br w:type="page"/>
      </w:r>
    </w:p>
    <w:p>
      <w:pPr>
        <w:pStyle w:val="TextBody"/>
        <w:bidi w:val="0"/>
        <w:spacing w:before="0" w:after="0"/>
        <w:jc w:val="righ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Exhibit 23.1</w:t>
      </w:r>
    </w:p>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Consent of Independent Registered Public Accounting Firm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consent to the incorporation by reference in the Registration Statements on Form S</w:t>
        <w:noBreakHyphen/>
        <w:t>8 (Nos. 333</w:t>
        <w:noBreakHyphen/>
        <w:t>183207, 333</w:t>
        <w:noBreakHyphen/>
        <w:t>183210, and 333</w:t>
        <w:noBreakHyphen/>
        <w:t>265315) of Atlantic American Corporation of our report dated October 16, 2026, with respect to the consolidated financial statements and financial statement schedules of Atlantic American Corporation, included in this Annual Report on Form 10</w:t>
        <w:noBreakHyphen/>
        <w:t xml:space="preserve">K for the year ended December 31, 2025.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 Forvis Mazars, LLP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Atlanta, Georgia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October 16, 2026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 xml:space="preserve">  </w:t>
      </w:r>
    </w:p>
    <w:p>
      <w:pPr>
        <w:pStyle w:val="TextBody"/>
        <w:bidi w:val="0"/>
        <w:spacing w:before="0" w:after="283"/>
        <w:jc w:val="left"/>
        <w:rPr/>
      </w:pPr>
      <w:r>
        <w:rPr/>
        <w:t> </w:t>
      </w:r>
    </w:p>
    <w:p>
      <w:pPr>
        <w:pStyle w:val="HorizontalLine"/>
        <w:bidi w:val="0"/>
        <w:jc w:val="left"/>
        <w:rPr/>
      </w:pPr>
      <w:r>
        <w:rPr/>
      </w:r>
      <w:bookmarkStart w:id="409" w:name="ef20083985_ex31-1.htm"/>
      <w:bookmarkStart w:id="410" w:name="ksef20083985_ex311"/>
      <w:bookmarkStart w:id="411" w:name="ef20083985_ex31-1.htm"/>
      <w:bookmarkStart w:id="412" w:name="ksef20083985_ex311"/>
      <w:bookmarkEnd w:id="411"/>
      <w:bookmarkEnd w:id="412"/>
      <w:r>
        <w:br w:type="page"/>
      </w:r>
    </w:p>
    <w:p>
      <w:pPr>
        <w:pStyle w:val="TextBody"/>
        <w:bidi w:val="0"/>
        <w:spacing w:before="0" w:after="0"/>
        <w:jc w:val="right"/>
        <w:rPr>
          <w:rFonts w:ascii="Times New Roman" w:hAnsi="Times New Roman"/>
          <w:b/>
          <w:color w:val="262626"/>
          <w:sz w:val="20"/>
        </w:rPr>
      </w:pPr>
      <w:r>
        <w:rPr>
          <w:rFonts w:ascii="Times New Roman" w:hAnsi="Times New Roman"/>
          <w:b/>
          <w:color w:val="262626"/>
          <w:sz w:val="20"/>
        </w:rPr>
        <w:t>EXHIBIT 31.1</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CERTIFICATION OF THE PRINCIPAL EXECUTIVE OFFICER</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262626"/>
          <w:sz w:val="20"/>
        </w:rPr>
      </w:pPr>
      <w:r>
        <w:rPr>
          <w:rFonts w:ascii="Times New Roman" w:hAnsi="Times New Roman"/>
          <w:color w:val="262626"/>
          <w:sz w:val="20"/>
        </w:rPr>
        <w:t>I, Hilton H. Howell, Jr.,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3" w:name="za7a1df434c2b4bf1a29897e5286a8afa"/>
      <w:bookmarkStart w:id="414" w:name="za7a1df434c2b4bf1a29897e5286a8afa"/>
      <w:bookmarkEnd w:id="414"/>
    </w:p>
    <w:tbl>
      <w:tblPr>
        <w:tblW w:w="8343" w:type="dxa"/>
        <w:jc w:val="left"/>
        <w:tblInd w:w="0" w:type="dxa"/>
        <w:tblLayout w:type="fixed"/>
        <w:tblCellMar>
          <w:top w:w="0" w:type="dxa"/>
          <w:left w:w="0" w:type="dxa"/>
          <w:bottom w:w="0" w:type="dxa"/>
          <w:right w:w="0" w:type="dxa"/>
        </w:tblCellMar>
      </w:tblPr>
      <w:tblGrid>
        <w:gridCol w:w="68"/>
        <w:gridCol w:w="230"/>
        <w:gridCol w:w="804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1.</w:t>
            </w:r>
          </w:p>
        </w:tc>
        <w:tc>
          <w:tcPr>
            <w:tcW w:w="8045" w:type="dxa"/>
            <w:tcBorders/>
            <w:vAlign w:val="center"/>
          </w:tcPr>
          <w:p>
            <w:pPr>
              <w:pStyle w:val="TableContents"/>
              <w:bidi w:val="0"/>
              <w:spacing w:before="0" w:after="0"/>
              <w:jc w:val="both"/>
              <w:rPr>
                <w:color w:val="262626"/>
              </w:rPr>
            </w:pPr>
            <w:r>
              <w:rPr>
                <w:color w:val="262626"/>
              </w:rPr>
              <w:t>I have reviewed this annual report on Form 10-K of Atlantic American Corporation;</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15" w:name="z8036958340d241c1bd5ef5ce4e4e67f0"/>
      <w:bookmarkStart w:id="416" w:name="z8036958340d241c1bd5ef5ce4e4e67f0"/>
      <w:bookmarkEnd w:id="416"/>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both"/>
              <w:rPr>
                <w:color w:val="262626"/>
              </w:rPr>
            </w:pPr>
            <w:r>
              <w:rPr>
                <w:color w:val="26262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17" w:name="z0d237cbc7d9f4a4494807dbf99ae98dd"/>
      <w:bookmarkStart w:id="418" w:name="z0d237cbc7d9f4a4494807dbf99ae98dd"/>
      <w:bookmarkEnd w:id="418"/>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both"/>
              <w:rPr>
                <w:color w:val="262626"/>
              </w:rPr>
            </w:pPr>
            <w:r>
              <w:rPr>
                <w:color w:val="262626"/>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19" w:name="zdbd167dc533b48bab280a67faf504bf6"/>
      <w:bookmarkStart w:id="420" w:name="zdbd167dc533b48bab280a67faf504bf6"/>
      <w:bookmarkEnd w:id="420"/>
    </w:p>
    <w:tbl>
      <w:tblPr>
        <w:tblW w:w="10205" w:type="dxa"/>
        <w:jc w:val="left"/>
        <w:tblInd w:w="0" w:type="dxa"/>
        <w:tblLayout w:type="fixed"/>
        <w:tblCellMar>
          <w:top w:w="0" w:type="dxa"/>
          <w:left w:w="0" w:type="dxa"/>
          <w:bottom w:w="0" w:type="dxa"/>
          <w:right w:w="0" w:type="dxa"/>
        </w:tblCellMar>
      </w:tblPr>
      <w:tblGrid>
        <w:gridCol w:w="105"/>
        <w:gridCol w:w="187"/>
        <w:gridCol w:w="9913"/>
      </w:tblGrid>
      <w:tr>
        <w:trPr/>
        <w:tc>
          <w:tcPr>
            <w:tcW w:w="10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0"/>
              <w:jc w:val="both"/>
              <w:rPr>
                <w:color w:val="262626"/>
              </w:rPr>
            </w:pPr>
            <w:r>
              <w:rPr>
                <w:color w:val="262626"/>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1" w:name="z272be7c7a81b4d7384a9bf4099b23d17"/>
      <w:bookmarkStart w:id="422" w:name="z272be7c7a81b4d7384a9bf4099b23d17"/>
      <w:bookmarkEnd w:id="422"/>
    </w:p>
    <w:tbl>
      <w:tblPr>
        <w:tblW w:w="10205" w:type="dxa"/>
        <w:jc w:val="left"/>
        <w:tblInd w:w="0" w:type="dxa"/>
        <w:tblLayout w:type="fixed"/>
        <w:tblCellMar>
          <w:top w:w="0" w:type="dxa"/>
          <w:left w:w="0" w:type="dxa"/>
          <w:bottom w:w="0" w:type="dxa"/>
          <w:right w:w="0" w:type="dxa"/>
        </w:tblCellMar>
      </w:tblPr>
      <w:tblGrid>
        <w:gridCol w:w="105"/>
        <w:gridCol w:w="174"/>
        <w:gridCol w:w="9926"/>
      </w:tblGrid>
      <w:tr>
        <w:trPr/>
        <w:tc>
          <w:tcPr>
            <w:tcW w:w="10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a)</w:t>
            </w:r>
          </w:p>
        </w:tc>
        <w:tc>
          <w:tcPr>
            <w:tcW w:w="9926"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3" w:name="z97b198ad4d89425780f43d54f3f77233"/>
      <w:bookmarkStart w:id="424" w:name="z97b198ad4d89425780f43d54f3f77233"/>
      <w:bookmarkEnd w:id="424"/>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b)</w:t>
            </w:r>
          </w:p>
        </w:tc>
        <w:tc>
          <w:tcPr>
            <w:tcW w:w="9910"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5" w:name="zd940ebf736ae4b92b5acc0e5d1098159"/>
      <w:bookmarkStart w:id="426" w:name="zd940ebf736ae4b92b5acc0e5d1098159"/>
      <w:bookmarkEnd w:id="426"/>
    </w:p>
    <w:tbl>
      <w:tblPr>
        <w:tblW w:w="10205" w:type="dxa"/>
        <w:jc w:val="left"/>
        <w:tblInd w:w="0" w:type="dxa"/>
        <w:tblLayout w:type="fixed"/>
        <w:tblCellMar>
          <w:top w:w="0" w:type="dxa"/>
          <w:left w:w="0" w:type="dxa"/>
          <w:bottom w:w="0" w:type="dxa"/>
          <w:right w:w="0" w:type="dxa"/>
        </w:tblCellMar>
      </w:tblPr>
      <w:tblGrid>
        <w:gridCol w:w="105"/>
        <w:gridCol w:w="181"/>
        <w:gridCol w:w="9919"/>
      </w:tblGrid>
      <w:tr>
        <w:trPr/>
        <w:tc>
          <w:tcPr>
            <w:tcW w:w="10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pPr>
            <w:r>
              <w:rPr/>
              <w:t>c)</w:t>
            </w:r>
          </w:p>
        </w:tc>
        <w:tc>
          <w:tcPr>
            <w:tcW w:w="9919"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7" w:name="new_id1"/>
      <w:bookmarkStart w:id="428" w:name="new_id1"/>
      <w:bookmarkEnd w:id="428"/>
    </w:p>
    <w:tbl>
      <w:tblPr>
        <w:tblW w:w="10205" w:type="dxa"/>
        <w:jc w:val="left"/>
        <w:tblInd w:w="0" w:type="dxa"/>
        <w:tblLayout w:type="fixed"/>
        <w:tblCellMar>
          <w:top w:w="0" w:type="dxa"/>
          <w:left w:w="0" w:type="dxa"/>
          <w:bottom w:w="0" w:type="dxa"/>
          <w:right w:w="0" w:type="dxa"/>
        </w:tblCellMar>
      </w:tblPr>
      <w:tblGrid>
        <w:gridCol w:w="68"/>
        <w:gridCol w:w="190"/>
        <w:gridCol w:w="9947"/>
      </w:tblGrid>
      <w:tr>
        <w:trPr/>
        <w:tc>
          <w:tcPr>
            <w:tcW w:w="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left"/>
              <w:rPr/>
            </w:pPr>
            <w:r>
              <w:rPr/>
              <w:t>d)</w:t>
            </w:r>
          </w:p>
        </w:tc>
        <w:tc>
          <w:tcPr>
            <w:tcW w:w="994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9" w:name="z22fd3d6a17c24590ab2025883f55369c"/>
      <w:bookmarkStart w:id="430" w:name="z22fd3d6a17c24590ab2025883f55369c"/>
      <w:bookmarkEnd w:id="430"/>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0"/>
              <w:jc w:val="left"/>
              <w:rPr/>
            </w:pPr>
            <w:r>
              <w:rPr/>
              <w:t>5.</w:t>
            </w:r>
          </w:p>
        </w:tc>
        <w:tc>
          <w:tcPr>
            <w:tcW w:w="9946" w:type="dxa"/>
            <w:tcBorders/>
            <w:vAlign w:val="center"/>
          </w:tcPr>
          <w:p>
            <w:pPr>
              <w:pStyle w:val="TableContents"/>
              <w:bidi w:val="0"/>
              <w:spacing w:before="0" w:after="0"/>
              <w:jc w:val="both"/>
              <w:rPr>
                <w:color w:val="262626"/>
              </w:rPr>
            </w:pPr>
            <w:r>
              <w:rPr>
                <w:color w:val="262626"/>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1170" w:right="0" w:hanging="0"/>
        <w:jc w:val="left"/>
        <w:rPr/>
      </w:pPr>
      <w:r>
        <w:rPr/>
      </w:r>
    </w:p>
    <w:p>
      <w:pPr>
        <w:pStyle w:val="TextBody"/>
        <w:bidi w:val="0"/>
        <w:spacing w:before="0" w:after="0"/>
        <w:ind w:left="540" w:right="0" w:hanging="0"/>
        <w:jc w:val="left"/>
        <w:rPr>
          <w:rFonts w:ascii="Times New Roman" w:hAnsi="Times New Roman"/>
          <w:color w:val="262626"/>
          <w:sz w:val="20"/>
        </w:rPr>
      </w:pPr>
      <w:r>
        <w:rPr>
          <w:rFonts w:ascii="Times New Roman" w:hAnsi="Times New Roman"/>
          <w:color w:val="262626"/>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170" w:right="0" w:hanging="0"/>
        <w:jc w:val="left"/>
        <w:rPr/>
      </w:pPr>
      <w:r>
        <w:rPr/>
      </w:r>
    </w:p>
    <w:p>
      <w:pPr>
        <w:pStyle w:val="TextBody"/>
        <w:bidi w:val="0"/>
        <w:spacing w:before="0" w:after="0"/>
        <w:ind w:left="560" w:right="0" w:hanging="0"/>
        <w:jc w:val="left"/>
        <w:rPr>
          <w:rFonts w:ascii="Times New Roman" w:hAnsi="Times New Roman"/>
          <w:color w:val="262626"/>
          <w:sz w:val="20"/>
        </w:rPr>
      </w:pPr>
      <w:r>
        <w:rPr>
          <w:rFonts w:ascii="Times New Roman" w:hAnsi="Times New Roman"/>
          <w:color w:val="262626"/>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ind w:left="540" w:right="0" w:hanging="0"/>
        <w:jc w:val="left"/>
        <w:rPr>
          <w:sz w:val="4"/>
          <w:szCs w:val="4"/>
        </w:rPr>
      </w:pPr>
      <w:r>
        <w:rPr>
          <w:sz w:val="4"/>
          <w:szCs w:val="4"/>
        </w:rPr>
      </w:r>
      <w:bookmarkStart w:id="431" w:name="z3f7b6b59ad4c4a0dad299676a37e4126"/>
      <w:bookmarkStart w:id="432" w:name="z3f7b6b59ad4c4a0dad299676a37e4126"/>
      <w:bookmarkEnd w:id="432"/>
    </w:p>
    <w:tbl>
      <w:tblPr>
        <w:tblW w:w="6055" w:type="dxa"/>
        <w:jc w:val="left"/>
        <w:tblInd w:w="540" w:type="dxa"/>
        <w:tblLayout w:type="fixed"/>
        <w:tblCellMar>
          <w:top w:w="0" w:type="dxa"/>
          <w:left w:w="0" w:type="dxa"/>
          <w:bottom w:w="28" w:type="dxa"/>
          <w:right w:w="0" w:type="dxa"/>
        </w:tblCellMar>
      </w:tblPr>
      <w:tblGrid>
        <w:gridCol w:w="2285"/>
        <w:gridCol w:w="90"/>
        <w:gridCol w:w="3680"/>
      </w:tblGrid>
      <w:tr>
        <w:trPr/>
        <w:tc>
          <w:tcPr>
            <w:tcW w:w="2285" w:type="dxa"/>
            <w:tcBorders>
              <w:bottom w:val="single" w:sz="12" w:space="0" w:color="000000"/>
            </w:tcBorders>
            <w:vAlign w:val="center"/>
          </w:tcPr>
          <w:p>
            <w:pPr>
              <w:pStyle w:val="TableContents"/>
              <w:bidi w:val="0"/>
              <w:spacing w:before="0" w:after="0"/>
              <w:jc w:val="left"/>
              <w:rPr>
                <w:color w:val="262626"/>
              </w:rPr>
            </w:pPr>
            <w:r>
              <w:rPr>
                <w:color w:val="262626"/>
              </w:rPr>
              <w:t>Date: October 16, 2026</w:t>
            </w:r>
          </w:p>
        </w:tc>
        <w:tc>
          <w:tcPr>
            <w:tcW w:w="90" w:type="dxa"/>
            <w:tcBorders/>
            <w:tcMar>
              <w:bottom w:w="0" w:type="dxa"/>
            </w:tcMar>
            <w:vAlign w:val="center"/>
          </w:tcPr>
          <w:p>
            <w:pPr>
              <w:pStyle w:val="TableContents"/>
              <w:bidi w:val="0"/>
              <w:spacing w:before="0" w:after="283"/>
              <w:jc w:val="left"/>
              <w:rPr/>
            </w:pPr>
            <w:r>
              <w:rPr/>
              <w:t> </w:t>
            </w:r>
          </w:p>
        </w:tc>
        <w:tc>
          <w:tcPr>
            <w:tcW w:w="3680" w:type="dxa"/>
            <w:tcBorders>
              <w:bottom w:val="single" w:sz="12" w:space="0" w:color="000000"/>
            </w:tcBorders>
            <w:vAlign w:val="center"/>
          </w:tcPr>
          <w:p>
            <w:pPr>
              <w:pStyle w:val="TableContents"/>
              <w:bidi w:val="0"/>
              <w:spacing w:before="0" w:after="0"/>
              <w:jc w:val="center"/>
              <w:rPr>
                <w:color w:val="262626"/>
              </w:rPr>
            </w:pPr>
            <w:r>
              <w:rPr>
                <w:color w:val="262626"/>
              </w:rPr>
              <w:t>/s/ Hilton H. Howell, Jr.</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80" w:type="dxa"/>
            <w:tcBorders/>
            <w:tcMar>
              <w:bottom w:w="0" w:type="dxa"/>
            </w:tcMar>
            <w:vAlign w:val="center"/>
          </w:tcPr>
          <w:p>
            <w:pPr>
              <w:pStyle w:val="TableContents"/>
              <w:bidi w:val="0"/>
              <w:spacing w:before="0" w:after="0"/>
              <w:jc w:val="center"/>
              <w:rPr>
                <w:color w:val="262626"/>
              </w:rPr>
            </w:pPr>
            <w:r>
              <w:rPr>
                <w:color w:val="262626"/>
              </w:rPr>
              <w:t>Hilton H. Howell, Jr.</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80" w:type="dxa"/>
            <w:tcBorders/>
            <w:tcMar>
              <w:bottom w:w="0" w:type="dxa"/>
            </w:tcMar>
            <w:vAlign w:val="center"/>
          </w:tcPr>
          <w:p>
            <w:pPr>
              <w:pStyle w:val="TableContents"/>
              <w:bidi w:val="0"/>
              <w:spacing w:before="0" w:after="0"/>
              <w:jc w:val="center"/>
              <w:rPr>
                <w:color w:val="262626"/>
              </w:rPr>
            </w:pPr>
            <w:r>
              <w:rPr>
                <w:color w:val="262626"/>
              </w:rPr>
              <w:t>President and Chief Executive Officer</w:t>
            </w:r>
          </w:p>
        </w:tc>
      </w:tr>
    </w:tbl>
    <w:p>
      <w:pPr>
        <w:pStyle w:val="TextBody"/>
        <w:bidi w:val="0"/>
        <w:spacing w:before="0" w:after="0"/>
        <w:ind w:left="540" w:right="0" w:hanging="0"/>
        <w:jc w:val="left"/>
        <w:rPr/>
      </w:pPr>
      <w:r>
        <w:rPr/>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bidi w:val="0"/>
        <w:jc w:val="left"/>
        <w:rPr/>
      </w:pPr>
      <w:r>
        <w:rPr/>
      </w:r>
      <w:bookmarkStart w:id="433" w:name="ef20083985_ex31-2.htm"/>
      <w:bookmarkStart w:id="434" w:name="ksef20083985_ex312"/>
      <w:bookmarkStart w:id="435" w:name="ef20083985_ex31-2.htm"/>
      <w:bookmarkStart w:id="436" w:name="ksef20083985_ex312"/>
      <w:bookmarkEnd w:id="435"/>
      <w:bookmarkEnd w:id="436"/>
      <w:r>
        <w:br w:type="page"/>
      </w:r>
    </w:p>
    <w:p>
      <w:pPr>
        <w:pStyle w:val="TextBody"/>
        <w:bidi w:val="0"/>
        <w:spacing w:before="0" w:after="0"/>
        <w:jc w:val="right"/>
        <w:rPr>
          <w:rFonts w:ascii="Times New Roman" w:hAnsi="Times New Roman"/>
          <w:b/>
          <w:color w:val="262626"/>
          <w:sz w:val="20"/>
        </w:rPr>
      </w:pPr>
      <w:r>
        <w:rPr>
          <w:rFonts w:ascii="Times New Roman" w:hAnsi="Times New Roman"/>
          <w:b/>
          <w:color w:val="262626"/>
          <w:sz w:val="20"/>
        </w:rPr>
        <w:t>EXHIBIT 31.2</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CERTIFICATION OF THE PRINCIPAL FINANCIAL OFFICER</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PURSUANT TO SECTION 302 OF THE SARBANES-OXLEY ACT OF 2002</w:t>
      </w:r>
    </w:p>
    <w:p>
      <w:pPr>
        <w:pStyle w:val="TextBody"/>
        <w:bidi w:val="0"/>
        <w:spacing w:before="0" w:after="0"/>
        <w:jc w:val="both"/>
        <w:rPr>
          <w:rFonts w:ascii="Times New Roman" w:hAnsi="Times New Roman"/>
          <w:color w:val="262626"/>
          <w:sz w:val="20"/>
        </w:rPr>
      </w:pPr>
      <w:r>
        <w:rPr>
          <w:rFonts w:ascii="Times New Roman" w:hAnsi="Times New Roman"/>
          <w:color w:val="262626"/>
          <w:sz w:val="20"/>
        </w:rPr>
        <w:t>I, Nickeesha Bates,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7" w:name="za206d38e17dc49c584fee2597b01c8bf"/>
      <w:bookmarkStart w:id="438" w:name="za206d38e17dc49c584fee2597b01c8bf"/>
      <w:bookmarkEnd w:id="438"/>
    </w:p>
    <w:tbl>
      <w:tblPr>
        <w:tblW w:w="8380" w:type="dxa"/>
        <w:jc w:val="left"/>
        <w:tblInd w:w="0" w:type="dxa"/>
        <w:tblLayout w:type="fixed"/>
        <w:tblCellMar>
          <w:top w:w="0" w:type="dxa"/>
          <w:left w:w="0" w:type="dxa"/>
          <w:bottom w:w="0" w:type="dxa"/>
          <w:right w:w="0" w:type="dxa"/>
        </w:tblCellMar>
      </w:tblPr>
      <w:tblGrid>
        <w:gridCol w:w="105"/>
        <w:gridCol w:w="230"/>
        <w:gridCol w:w="804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8045" w:type="dxa"/>
            <w:tcBorders/>
            <w:vAlign w:val="center"/>
          </w:tcPr>
          <w:p>
            <w:pPr>
              <w:pStyle w:val="TableContents"/>
              <w:bidi w:val="0"/>
              <w:spacing w:before="0" w:after="0"/>
              <w:jc w:val="both"/>
              <w:rPr>
                <w:color w:val="262626"/>
              </w:rPr>
            </w:pPr>
            <w:r>
              <w:rPr>
                <w:color w:val="262626"/>
              </w:rPr>
              <w:t>I have reviewed this annual report on Form 10-K of Atlantic American Corporation;</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39" w:name="zf5ac3763cec84906a318b4706fc5a333"/>
      <w:bookmarkStart w:id="440" w:name="zf5ac3763cec84906a318b4706fc5a333"/>
      <w:bookmarkEnd w:id="440"/>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both"/>
              <w:rPr>
                <w:color w:val="262626"/>
              </w:rPr>
            </w:pPr>
            <w:r>
              <w:rPr>
                <w:color w:val="26262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41" w:name="z819a14ce111e48f5b381e1b91a288e3f"/>
      <w:bookmarkStart w:id="442" w:name="z819a14ce111e48f5b381e1b91a288e3f"/>
      <w:bookmarkEnd w:id="442"/>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both"/>
              <w:rPr>
                <w:color w:val="262626"/>
              </w:rPr>
            </w:pPr>
            <w:r>
              <w:rPr>
                <w:color w:val="262626"/>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43" w:name="zaa7c52aaeb6542e6b3bc5e7b080773c3"/>
      <w:bookmarkStart w:id="444" w:name="zaa7c52aaeb6542e6b3bc5e7b080773c3"/>
      <w:bookmarkEnd w:id="444"/>
    </w:p>
    <w:tbl>
      <w:tblPr>
        <w:tblW w:w="10205" w:type="dxa"/>
        <w:jc w:val="left"/>
        <w:tblInd w:w="0" w:type="dxa"/>
        <w:tblLayout w:type="fixed"/>
        <w:tblCellMar>
          <w:top w:w="0" w:type="dxa"/>
          <w:left w:w="0" w:type="dxa"/>
          <w:bottom w:w="0" w:type="dxa"/>
          <w:right w:w="0" w:type="dxa"/>
        </w:tblCellMar>
      </w:tblPr>
      <w:tblGrid>
        <w:gridCol w:w="68"/>
        <w:gridCol w:w="187"/>
        <w:gridCol w:w="9950"/>
      </w:tblGrid>
      <w:tr>
        <w:trPr/>
        <w:tc>
          <w:tcPr>
            <w:tcW w:w="68" w:type="dxa"/>
            <w:tcBorders/>
            <w:vAlign w:val="center"/>
          </w:tcPr>
          <w:p>
            <w:pPr>
              <w:pStyle w:val="TableContents"/>
              <w:bidi w:val="0"/>
              <w:spacing w:before="0" w:after="283"/>
              <w:jc w:val="left"/>
              <w:rPr/>
            </w:pPr>
            <w:r>
              <w:rPr/>
            </w:r>
          </w:p>
        </w:tc>
        <w:tc>
          <w:tcPr>
            <w:tcW w:w="187"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both"/>
              <w:rPr>
                <w:color w:val="262626"/>
              </w:rPr>
            </w:pPr>
            <w:r>
              <w:rPr>
                <w:color w:val="262626"/>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5" w:name="z8c9770f876344794a472cf3773bbfdc7"/>
      <w:bookmarkStart w:id="446" w:name="z8c9770f876344794a472cf3773bbfdc7"/>
      <w:bookmarkEnd w:id="446"/>
    </w:p>
    <w:tbl>
      <w:tblPr>
        <w:tblW w:w="10205" w:type="dxa"/>
        <w:jc w:val="left"/>
        <w:tblInd w:w="0" w:type="dxa"/>
        <w:tblLayout w:type="fixed"/>
        <w:tblCellMar>
          <w:top w:w="0" w:type="dxa"/>
          <w:left w:w="0" w:type="dxa"/>
          <w:bottom w:w="0" w:type="dxa"/>
          <w:right w:w="0" w:type="dxa"/>
        </w:tblCellMar>
      </w:tblPr>
      <w:tblGrid>
        <w:gridCol w:w="105"/>
        <w:gridCol w:w="174"/>
        <w:gridCol w:w="9926"/>
      </w:tblGrid>
      <w:tr>
        <w:trPr/>
        <w:tc>
          <w:tcPr>
            <w:tcW w:w="10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a)</w:t>
            </w:r>
          </w:p>
        </w:tc>
        <w:tc>
          <w:tcPr>
            <w:tcW w:w="9926"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7" w:name="z099635522b1c43f691cc5efc5ca4b621"/>
      <w:bookmarkStart w:id="448" w:name="z099635522b1c43f691cc5efc5ca4b621"/>
      <w:bookmarkEnd w:id="448"/>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b)</w:t>
            </w:r>
          </w:p>
        </w:tc>
        <w:tc>
          <w:tcPr>
            <w:tcW w:w="9910"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9" w:name="zbc674c571af644c1b36cde9b92fe8469"/>
      <w:bookmarkStart w:id="450" w:name="zbc674c571af644c1b36cde9b92fe8469"/>
      <w:bookmarkEnd w:id="450"/>
    </w:p>
    <w:tbl>
      <w:tblPr>
        <w:tblW w:w="10205" w:type="dxa"/>
        <w:jc w:val="left"/>
        <w:tblInd w:w="0" w:type="dxa"/>
        <w:tblLayout w:type="fixed"/>
        <w:tblCellMar>
          <w:top w:w="0" w:type="dxa"/>
          <w:left w:w="0" w:type="dxa"/>
          <w:bottom w:w="0" w:type="dxa"/>
          <w:right w:w="0" w:type="dxa"/>
        </w:tblCellMar>
      </w:tblPr>
      <w:tblGrid>
        <w:gridCol w:w="105"/>
        <w:gridCol w:w="181"/>
        <w:gridCol w:w="9919"/>
      </w:tblGrid>
      <w:tr>
        <w:trPr/>
        <w:tc>
          <w:tcPr>
            <w:tcW w:w="10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pPr>
            <w:r>
              <w:rPr/>
              <w:t>c)</w:t>
            </w:r>
          </w:p>
        </w:tc>
        <w:tc>
          <w:tcPr>
            <w:tcW w:w="9919"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1" w:name="z55d8e99de6c34b59a8213237e3e98f69"/>
      <w:bookmarkStart w:id="452" w:name="z55d8e99de6c34b59a8213237e3e98f69"/>
      <w:bookmarkEnd w:id="452"/>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d)</w:t>
            </w:r>
          </w:p>
        </w:tc>
        <w:tc>
          <w:tcPr>
            <w:tcW w:w="9910"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3" w:name="zff6f530e1bc543cd8fd33ed74cc72fb6"/>
      <w:bookmarkStart w:id="454" w:name="zff6f530e1bc543cd8fd33ed74cc72fb6"/>
      <w:bookmarkEnd w:id="454"/>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pPr>
            <w:r>
              <w:rPr/>
              <w:t>5.</w:t>
            </w:r>
          </w:p>
        </w:tc>
        <w:tc>
          <w:tcPr>
            <w:tcW w:w="9946" w:type="dxa"/>
            <w:tcBorders/>
            <w:vAlign w:val="center"/>
          </w:tcPr>
          <w:p>
            <w:pPr>
              <w:pStyle w:val="TableContents"/>
              <w:bidi w:val="0"/>
              <w:spacing w:before="0" w:after="0"/>
              <w:jc w:val="both"/>
              <w:rPr>
                <w:color w:val="262626"/>
              </w:rPr>
            </w:pPr>
            <w:r>
              <w:rPr>
                <w:color w:val="262626"/>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jc w:val="left"/>
        <w:rPr/>
      </w:pPr>
      <w:r>
        <w:rPr/>
      </w:r>
    </w:p>
    <w:p>
      <w:pPr>
        <w:pStyle w:val="TextBody"/>
        <w:bidi w:val="0"/>
        <w:spacing w:before="0" w:after="0"/>
        <w:jc w:val="both"/>
        <w:rPr>
          <w:rFonts w:ascii="Times New Roman" w:hAnsi="Times New Roman"/>
          <w:color w:val="262626"/>
          <w:sz w:val="20"/>
        </w:rPr>
      </w:pPr>
      <w:r>
        <w:rPr>
          <w:rFonts w:ascii="Times New Roman" w:hAnsi="Times New Roman"/>
          <w:color w:val="262626"/>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170" w:right="0" w:hanging="0"/>
        <w:jc w:val="left"/>
        <w:rPr/>
      </w:pPr>
      <w:r>
        <w:rPr/>
      </w:r>
    </w:p>
    <w:p>
      <w:pPr>
        <w:pStyle w:val="TextBody"/>
        <w:bidi w:val="0"/>
        <w:spacing w:before="0" w:after="0"/>
        <w:jc w:val="both"/>
        <w:rPr>
          <w:rFonts w:ascii="Times New Roman" w:hAnsi="Times New Roman"/>
          <w:color w:val="262626"/>
          <w:sz w:val="20"/>
        </w:rPr>
      </w:pPr>
      <w:r>
        <w:rPr>
          <w:rFonts w:ascii="Times New Roman" w:hAnsi="Times New Roman"/>
          <w:color w:val="262626"/>
          <w:sz w:val="20"/>
        </w:rPr>
        <w:t>b) any fraud, whether or not material, that involves management or other employees who have a significant role in the registrant’s internal control over financial reporting.</w:t>
      </w:r>
    </w:p>
    <w:p>
      <w:pPr>
        <w:pStyle w:val="TextBody"/>
        <w:bidi w:val="0"/>
        <w:spacing w:before="0" w:after="0"/>
        <w:ind w:left="1170" w:right="0" w:hanging="0"/>
        <w:jc w:val="left"/>
        <w:rPr/>
      </w:pPr>
      <w:r>
        <w:rPr/>
      </w:r>
    </w:p>
    <w:p>
      <w:pPr>
        <w:pStyle w:val="Normal"/>
        <w:bidi w:val="0"/>
        <w:spacing w:before="0" w:after="0"/>
        <w:ind w:left="540" w:right="0" w:hanging="0"/>
        <w:jc w:val="left"/>
        <w:rPr>
          <w:sz w:val="4"/>
          <w:szCs w:val="4"/>
        </w:rPr>
      </w:pPr>
      <w:r>
        <w:rPr>
          <w:sz w:val="4"/>
          <w:szCs w:val="4"/>
        </w:rPr>
      </w:r>
      <w:bookmarkStart w:id="455" w:name="z9d4317ed04b8409484953716b43ef7a7"/>
      <w:bookmarkStart w:id="456" w:name="z9d4317ed04b8409484953716b43ef7a7"/>
      <w:bookmarkEnd w:id="456"/>
    </w:p>
    <w:tbl>
      <w:tblPr>
        <w:tblW w:w="8965" w:type="dxa"/>
        <w:jc w:val="left"/>
        <w:tblInd w:w="540" w:type="dxa"/>
        <w:tblLayout w:type="fixed"/>
        <w:tblCellMar>
          <w:top w:w="0" w:type="dxa"/>
          <w:left w:w="0" w:type="dxa"/>
          <w:bottom w:w="28" w:type="dxa"/>
          <w:right w:w="0" w:type="dxa"/>
        </w:tblCellMar>
      </w:tblPr>
      <w:tblGrid>
        <w:gridCol w:w="2285"/>
        <w:gridCol w:w="90"/>
        <w:gridCol w:w="6590"/>
      </w:tblGrid>
      <w:tr>
        <w:trPr/>
        <w:tc>
          <w:tcPr>
            <w:tcW w:w="2285" w:type="dxa"/>
            <w:tcBorders>
              <w:bottom w:val="single" w:sz="12" w:space="0" w:color="000000"/>
            </w:tcBorders>
            <w:vAlign w:val="center"/>
          </w:tcPr>
          <w:p>
            <w:pPr>
              <w:pStyle w:val="TableContents"/>
              <w:bidi w:val="0"/>
              <w:spacing w:before="0" w:after="0"/>
              <w:jc w:val="left"/>
              <w:rPr>
                <w:color w:val="262626"/>
              </w:rPr>
            </w:pPr>
            <w:r>
              <w:rPr>
                <w:color w:val="262626"/>
              </w:rPr>
              <w:t>Date: October 16, 2026</w:t>
            </w:r>
          </w:p>
        </w:tc>
        <w:tc>
          <w:tcPr>
            <w:tcW w:w="90" w:type="dxa"/>
            <w:tcBorders/>
            <w:tcMar>
              <w:bottom w:w="0" w:type="dxa"/>
            </w:tcMar>
            <w:vAlign w:val="center"/>
          </w:tcPr>
          <w:p>
            <w:pPr>
              <w:pStyle w:val="TableContents"/>
              <w:bidi w:val="0"/>
              <w:spacing w:before="0" w:after="283"/>
              <w:jc w:val="left"/>
              <w:rPr/>
            </w:pPr>
            <w:r>
              <w:rPr/>
              <w:t> </w:t>
            </w:r>
          </w:p>
        </w:tc>
        <w:tc>
          <w:tcPr>
            <w:tcW w:w="6590" w:type="dxa"/>
            <w:tcBorders>
              <w:bottom w:val="single" w:sz="12" w:space="0" w:color="000000"/>
            </w:tcBorders>
            <w:vAlign w:val="center"/>
          </w:tcPr>
          <w:p>
            <w:pPr>
              <w:pStyle w:val="TableContents"/>
              <w:bidi w:val="0"/>
              <w:spacing w:before="0" w:after="0"/>
              <w:jc w:val="center"/>
              <w:rPr>
                <w:color w:val="262626"/>
              </w:rPr>
            </w:pPr>
            <w:r>
              <w:rPr>
                <w:color w:val="262626"/>
              </w:rPr>
              <w:t>/s/Nickeesha Bates</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0"/>
              <w:jc w:val="center"/>
              <w:rPr>
                <w:color w:val="262626"/>
              </w:rPr>
            </w:pPr>
            <w:r>
              <w:rPr>
                <w:color w:val="262626"/>
              </w:rPr>
              <w:t>Nickeesha Bates</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0"/>
              <w:jc w:val="center"/>
              <w:rPr>
                <w:color w:val="262626"/>
              </w:rPr>
            </w:pPr>
            <w:r>
              <w:rPr>
                <w:color w:val="262626"/>
              </w:rPr>
              <w:t>Vice President, Corporate Controller, Corporate Accounting/Finance</w:t>
            </w:r>
          </w:p>
        </w:tc>
      </w:tr>
    </w:tbl>
    <w:p>
      <w:pPr>
        <w:pStyle w:val="TextBody"/>
        <w:bidi w:val="0"/>
        <w:spacing w:before="0" w:after="0"/>
        <w:ind w:left="540" w:right="0" w:hanging="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457" w:name="ef20083985_ex32-1.htm"/>
      <w:bookmarkStart w:id="458" w:name="ksef20083985_ex321"/>
      <w:bookmarkStart w:id="459" w:name="ef20083985_ex32-1.htm"/>
      <w:bookmarkStart w:id="460" w:name="ksef20083985_ex321"/>
      <w:bookmarkEnd w:id="459"/>
      <w:bookmarkEnd w:id="460"/>
      <w:r>
        <w:br w:type="page"/>
      </w:r>
    </w:p>
    <w:p>
      <w:pPr>
        <w:pStyle w:val="TextBody"/>
        <w:bidi w:val="0"/>
        <w:spacing w:before="0" w:after="0"/>
        <w:jc w:val="right"/>
        <w:rPr>
          <w:rFonts w:ascii="Times New Roman" w:hAnsi="Times New Roman"/>
          <w:b/>
          <w:color w:val="262626"/>
          <w:sz w:val="20"/>
        </w:rPr>
      </w:pPr>
      <w:r>
        <w:rPr>
          <w:rFonts w:ascii="Times New Roman" w:hAnsi="Times New Roman"/>
          <w:b/>
          <w:color w:val="262626"/>
          <w:sz w:val="20"/>
        </w:rPr>
        <w:t>EXHIBIT 32.1</w:t>
      </w:r>
    </w:p>
    <w:p>
      <w:pPr>
        <w:pStyle w:val="TextBody"/>
        <w:bidi w:val="0"/>
        <w:spacing w:before="0" w:after="0"/>
        <w:jc w:val="left"/>
        <w:rPr>
          <w:rFonts w:ascii="Times New Roman" w:hAnsi="Times New Roman"/>
          <w:color w:val="262626"/>
          <w:sz w:val="20"/>
        </w:rPr>
      </w:pPr>
      <w:r>
        <w:rPr>
          <w:rFonts w:ascii="Times New Roman" w:hAnsi="Times New Roman"/>
          <w:color w:val="262626"/>
          <w:sz w:val="20"/>
        </w:rPr>
        <w:t>Certifications Pursuant to §906 of the Sarbanes-Oxley Act of 2002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262626"/>
          <w:sz w:val="20"/>
        </w:rPr>
      </w:pPr>
      <w:r>
        <w:rPr>
          <w:rFonts w:ascii="Times New Roman" w:hAnsi="Times New Roman"/>
          <w:color w:val="262626"/>
          <w:sz w:val="20"/>
        </w:rPr>
        <w:t>Pursuant to 18 U.S.C. §1350, as adopted pursuant to §906 of the Sarbanes-Oxley Act of 2002, in connection with the filing of the Annual Report on Form 10-K of Atlantic American Corporation (the “Company”) for the year ended December 31, 2025, as filed with the Securities and Exchange Commission on the date hereof (the “Report”), each of the undersigned officers of the Company certifies, that, to such officer’s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1" w:name="z520379a63a3e4a9e9663cd6aa4a463a1"/>
      <w:bookmarkStart w:id="462" w:name="z520379a63a3e4a9e9663cd6aa4a463a1"/>
      <w:bookmarkEnd w:id="462"/>
    </w:p>
    <w:tbl>
      <w:tblPr>
        <w:tblW w:w="10205" w:type="dxa"/>
        <w:jc w:val="left"/>
        <w:tblInd w:w="0" w:type="dxa"/>
        <w:tblLayout w:type="fixed"/>
        <w:tblCellMar>
          <w:top w:w="0" w:type="dxa"/>
          <w:left w:w="0" w:type="dxa"/>
          <w:bottom w:w="0" w:type="dxa"/>
          <w:right w:w="0" w:type="dxa"/>
        </w:tblCellMar>
      </w:tblPr>
      <w:tblGrid>
        <w:gridCol w:w="105"/>
        <w:gridCol w:w="307"/>
        <w:gridCol w:w="9793"/>
      </w:tblGrid>
      <w:tr>
        <w:trPr/>
        <w:tc>
          <w:tcPr>
            <w:tcW w:w="105"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pPr>
            <w:r>
              <w:rPr/>
              <w:t>(1)</w:t>
            </w:r>
          </w:p>
        </w:tc>
        <w:tc>
          <w:tcPr>
            <w:tcW w:w="9793" w:type="dxa"/>
            <w:tcBorders/>
            <w:vAlign w:val="center"/>
          </w:tcPr>
          <w:p>
            <w:pPr>
              <w:pStyle w:val="TableContents"/>
              <w:bidi w:val="0"/>
              <w:spacing w:before="0" w:after="0"/>
              <w:jc w:val="left"/>
              <w:rPr/>
            </w:pPr>
            <w:r>
              <w:rPr/>
              <w:t>The Report fully complies with the requirements of Section 13 (a) or 15 (d)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3" w:name="d60892e711e24f2e93d8a031f422747c"/>
      <w:bookmarkStart w:id="464" w:name="d60892e711e24f2e93d8a031f422747c"/>
      <w:bookmarkEnd w:id="464"/>
    </w:p>
    <w:tbl>
      <w:tblPr>
        <w:tblW w:w="10205" w:type="dxa"/>
        <w:jc w:val="left"/>
        <w:tblInd w:w="0" w:type="dxa"/>
        <w:tblLayout w:type="fixed"/>
        <w:tblCellMar>
          <w:top w:w="0" w:type="dxa"/>
          <w:left w:w="0" w:type="dxa"/>
          <w:bottom w:w="0" w:type="dxa"/>
          <w:right w:w="0" w:type="dxa"/>
        </w:tblCellMar>
      </w:tblPr>
      <w:tblGrid>
        <w:gridCol w:w="105"/>
        <w:gridCol w:w="280"/>
        <w:gridCol w:w="9820"/>
      </w:tblGrid>
      <w:tr>
        <w:trPr/>
        <w:tc>
          <w:tcPr>
            <w:tcW w:w="10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jc w:val="left"/>
              <w:rPr/>
            </w:pPr>
            <w:r>
              <w:rPr/>
              <w:t>(2)</w:t>
            </w:r>
          </w:p>
        </w:tc>
        <w:tc>
          <w:tcPr>
            <w:tcW w:w="982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Normal"/>
        <w:bidi w:val="0"/>
        <w:spacing w:before="0" w:after="0"/>
        <w:ind w:left="360" w:right="0" w:hanging="0"/>
        <w:jc w:val="left"/>
        <w:rPr>
          <w:sz w:val="4"/>
          <w:szCs w:val="4"/>
        </w:rPr>
      </w:pPr>
      <w:r>
        <w:rPr>
          <w:sz w:val="4"/>
          <w:szCs w:val="4"/>
        </w:rPr>
      </w:r>
      <w:bookmarkStart w:id="465" w:name="zf21a736c5f73455897a429a4c9ae10fa"/>
      <w:bookmarkStart w:id="466" w:name="zf21a736c5f73455897a429a4c9ae10fa"/>
      <w:bookmarkEnd w:id="466"/>
    </w:p>
    <w:tbl>
      <w:tblPr>
        <w:tblW w:w="8965" w:type="dxa"/>
        <w:jc w:val="left"/>
        <w:tblInd w:w="360" w:type="dxa"/>
        <w:tblLayout w:type="fixed"/>
        <w:tblCellMar>
          <w:top w:w="0" w:type="dxa"/>
          <w:left w:w="0" w:type="dxa"/>
          <w:bottom w:w="0" w:type="dxa"/>
          <w:right w:w="0" w:type="dxa"/>
        </w:tblCellMar>
      </w:tblPr>
      <w:tblGrid>
        <w:gridCol w:w="2285"/>
        <w:gridCol w:w="6560"/>
        <w:gridCol w:w="120"/>
      </w:tblGrid>
      <w:tr>
        <w:trPr/>
        <w:tc>
          <w:tcPr>
            <w:tcW w:w="2285" w:type="dxa"/>
            <w:tcBorders/>
            <w:vAlign w:val="center"/>
          </w:tcPr>
          <w:p>
            <w:pPr>
              <w:pStyle w:val="TableContents"/>
              <w:bidi w:val="0"/>
              <w:spacing w:before="0" w:after="0"/>
              <w:jc w:val="left"/>
              <w:rPr>
                <w:color w:val="262626"/>
              </w:rPr>
            </w:pPr>
            <w:r>
              <w:rPr>
                <w:color w:val="262626"/>
              </w:rPr>
              <w:t>Date: October 16, 2026</w:t>
            </w:r>
          </w:p>
        </w:tc>
        <w:tc>
          <w:tcPr>
            <w:tcW w:w="6560" w:type="dxa"/>
            <w:tcBorders>
              <w:bottom w:val="single" w:sz="12" w:space="0" w:color="000000"/>
            </w:tcBorders>
            <w:tcMar>
              <w:bottom w:w="28" w:type="dxa"/>
            </w:tcMar>
            <w:vAlign w:val="center"/>
          </w:tcPr>
          <w:p>
            <w:pPr>
              <w:pStyle w:val="TableContents"/>
              <w:bidi w:val="0"/>
              <w:spacing w:before="0" w:after="0"/>
              <w:jc w:val="left"/>
              <w:rPr>
                <w:color w:val="262626"/>
              </w:rPr>
            </w:pPr>
            <w:r>
              <w:rPr>
                <w:color w:val="262626"/>
              </w:rPr>
              <w:t>/s/ Hilton H. Howell, Jr.</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Hilton H. Howell, Jr.</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President and Chief Executive Officer</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color w:val="262626"/>
              </w:rPr>
            </w:pPr>
            <w:r>
              <w:rPr>
                <w:color w:val="262626"/>
              </w:rPr>
              <w:t>Date: October 16, 2026</w:t>
            </w:r>
          </w:p>
        </w:tc>
        <w:tc>
          <w:tcPr>
            <w:tcW w:w="6560" w:type="dxa"/>
            <w:tcBorders>
              <w:bottom w:val="single" w:sz="12" w:space="0" w:color="000000"/>
            </w:tcBorders>
            <w:tcMar>
              <w:bottom w:w="28" w:type="dxa"/>
            </w:tcMar>
            <w:vAlign w:val="center"/>
          </w:tcPr>
          <w:p>
            <w:pPr>
              <w:pStyle w:val="TableContents"/>
              <w:bidi w:val="0"/>
              <w:spacing w:before="0" w:after="0"/>
              <w:jc w:val="left"/>
              <w:rPr>
                <w:color w:val="262626"/>
              </w:rPr>
            </w:pPr>
            <w:r>
              <w:rPr>
                <w:color w:val="262626"/>
              </w:rPr>
              <w:t>/s/ Nickeesha Bates</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Nickeesha Bates</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Vice President, Corporate Controller, Corporate Accounting/Finance</w:t>
            </w:r>
          </w:p>
        </w:tc>
        <w:tc>
          <w:tcPr>
            <w:tcW w:w="12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pPr>
      <w:r>
        <w:rPr/>
      </w:r>
    </w:p>
    <w:p>
      <w:pPr>
        <w:pStyle w:val="TextBody"/>
        <w:bidi w:val="0"/>
        <w:spacing w:before="0" w:after="0"/>
        <w:ind w:left="0" w:right="0" w:firstLine="720"/>
        <w:jc w:val="both"/>
        <w:rPr>
          <w:rFonts w:ascii="Times New Roman" w:hAnsi="Times New Roman"/>
          <w:color w:val="262626"/>
          <w:sz w:val="20"/>
        </w:rPr>
      </w:pPr>
      <w:r>
        <w:rPr>
          <w:rFonts w:ascii="Times New Roman" w:hAnsi="Times New Roman"/>
          <w:color w:val="262626"/>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before="0" w:after="0"/>
        <w:jc w:val="left"/>
        <w:rPr/>
      </w:pPr>
      <w:r>
        <w:rPr/>
      </w:r>
    </w:p>
    <w:p>
      <w:pPr>
        <w:pStyle w:val="HorizontalLine"/>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77/000095014409002745/g18290exv3w1.htm" TargetMode="External"/><Relationship Id="rId4" Type="http://schemas.openxmlformats.org/officeDocument/2006/relationships/hyperlink" Target="https://www.sec.gov/Archives/edgar/data/8177/000114036116056513/ex3_1.htm" TargetMode="External"/><Relationship Id="rId5" Type="http://schemas.openxmlformats.org/officeDocument/2006/relationships/hyperlink" Target="https://www.sec.gov/Archives/edgar/data/8177/000114036120006734/hc10009874x1_ex4-1.htm" TargetMode="External"/><Relationship Id="rId6" Type="http://schemas.openxmlformats.org/officeDocument/2006/relationships/hyperlink" Target="https://www.sec.gov/Archives/edgar/data/8177/000114036118015001/h10051668x1_ex10-02.htm" TargetMode="External"/><Relationship Id="rId7" Type="http://schemas.openxmlformats.org/officeDocument/2006/relationships/hyperlink" Target="https://www.sec.gov/Archives/edgar/data/8177/000000817712000021/exhibit_99108102012.htm" TargetMode="External"/><Relationship Id="rId8" Type="http://schemas.openxmlformats.org/officeDocument/2006/relationships/hyperlink" Target="https://www.sec.gov/Archives/edgar/data/8177/000114036113020475/ex10_1.htm" TargetMode="External"/><Relationship Id="rId9" Type="http://schemas.openxmlformats.org/officeDocument/2006/relationships/hyperlink" Target="https://www.sec.gov/Archives/edgar/data/8177/000095014408002428/g12502exv10w10.htm" TargetMode="External"/><Relationship Id="rId10" Type="http://schemas.openxmlformats.org/officeDocument/2006/relationships/hyperlink" Target="https://www.sec.gov/Archives/edgar/data/8177/000095014408004139/g13460exv10w2.htm" TargetMode="External"/><Relationship Id="rId11" Type="http://schemas.openxmlformats.org/officeDocument/2006/relationships/hyperlink" Target="https://www.sec.gov/Archives/edgar/data/8177/000114036123032391/brhc20054803_ex10-07.htm" TargetMode="External"/><Relationship Id="rId12" Type="http://schemas.openxmlformats.org/officeDocument/2006/relationships/hyperlink" Target="https://www.sec.gov/Archives/edgar/data/8177/000114036121017268/brhc10024566_ex10-1.htm" TargetMode="External"/><Relationship Id="rId13" Type="http://schemas.openxmlformats.org/officeDocument/2006/relationships/hyperlink" Target="https://www.sec.gov/Archives/edgar/data/8177/000114036122021173/brhc10038059_ex10-1.htm" TargetMode="External"/><Relationship Id="rId14" Type="http://schemas.openxmlformats.org/officeDocument/2006/relationships/hyperlink" Target="https://www.sec.gov/Archives/edgar/data/8177/000114036125010239/ef20038925_ex10-11.htm" TargetMode="External"/><Relationship Id="rId15" Type="http://schemas.openxmlformats.org/officeDocument/2006/relationships/hyperlink" Target="https://www.sec.gov/Archives/edgar/data/8177/000114036126023724/ef20075453_ex10-1.htm" TargetMode="External"/><Relationship Id="rId16" Type="http://schemas.openxmlformats.org/officeDocument/2006/relationships/hyperlink" Target="https://www.sec.gov/Archives/edgar/data/8177/000114036126031431/ef20079464_ex10-1.htm" TargetMode="External"/><Relationship Id="rId17" Type="http://schemas.openxmlformats.org/officeDocument/2006/relationships/hyperlink" Target="https://www.sec.gov/Archives/edgar/data/8177/000095014404003175/g87714exv14w1.txt" TargetMode="External"/><Relationship Id="rId18" Type="http://schemas.openxmlformats.org/officeDocument/2006/relationships/hyperlink" Target="https://www.sec.gov/Archives/edgar/data/8177/000114036125010239/ef20038925_ex19-1.htm" TargetMode="External"/><Relationship Id="rId19" Type="http://schemas.openxmlformats.org/officeDocument/2006/relationships/hyperlink" Target="https://www.sec.gov/Archives/edgar/data/8177/000114036125010239/ef20038925_ex97-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54107</Words>
  <Characters>303187</Characters>
  <CharactersWithSpaces>364146</CharactersWithSpaces>
  <Paragraphs>21852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