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500" w:right="2300" w:hanging="492"/>
        <w:spacing w:after="0" w:line="399"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238" w:lineRule="exact"/>
        <w:rPr>
          <w:sz w:val="24"/>
          <w:szCs w:val="24"/>
          <w:color w:val="auto"/>
        </w:rPr>
      </w:pPr>
    </w:p>
    <w:p>
      <w:pPr>
        <w:ind w:left="4500" w:right="2180" w:hanging="4492"/>
        <w:spacing w:after="0" w:line="515" w:lineRule="auto"/>
        <w:tabs>
          <w:tab w:leader="none" w:pos="49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Commission File Number 0-3722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ATLANTIC AMERICAN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Georgia</w:t>
            </w:r>
          </w:p>
        </w:tc>
        <w:tc>
          <w:tcPr>
            <w:tcW w:w="3760" w:type="dxa"/>
            <w:vAlign w:val="bottom"/>
          </w:tcPr>
          <w:p>
            <w:pPr>
              <w:jc w:val="right"/>
              <w:ind w:right="770"/>
              <w:spacing w:after="0"/>
              <w:rPr>
                <w:sz w:val="20"/>
                <w:szCs w:val="20"/>
                <w:color w:val="auto"/>
              </w:rPr>
            </w:pPr>
            <w:r>
              <w:rPr>
                <w:rFonts w:ascii="Arial" w:cs="Arial" w:eastAsia="Arial" w:hAnsi="Arial"/>
                <w:sz w:val="18"/>
                <w:szCs w:val="18"/>
                <w:b w:val="1"/>
                <w:bCs w:val="1"/>
                <w:color w:val="auto"/>
              </w:rPr>
              <w:t>58-1027114</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4370 Peachtree Road, N.E.,</w:t>
            </w:r>
          </w:p>
        </w:tc>
        <w:tc>
          <w:tcPr>
            <w:tcW w:w="3760" w:type="dxa"/>
            <w:vAlign w:val="bottom"/>
          </w:tcPr>
          <w:p>
            <w:pPr>
              <w:jc w:val="right"/>
              <w:ind w:right="990"/>
              <w:spacing w:after="0"/>
              <w:rPr>
                <w:sz w:val="20"/>
                <w:szCs w:val="20"/>
                <w:color w:val="auto"/>
              </w:rPr>
            </w:pPr>
            <w:r>
              <w:rPr>
                <w:rFonts w:ascii="Arial" w:cs="Arial" w:eastAsia="Arial" w:hAnsi="Arial"/>
                <w:sz w:val="18"/>
                <w:szCs w:val="18"/>
                <w:b w:val="1"/>
                <w:bCs w:val="1"/>
                <w:color w:val="auto"/>
              </w:rPr>
              <w:t>30319</w:t>
            </w:r>
          </w:p>
        </w:tc>
      </w:tr>
      <w:tr>
        <w:trPr>
          <w:trHeight w:val="220"/>
        </w:trPr>
        <w:tc>
          <w:tcPr>
            <w:tcW w:w="5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Atlanta, Georgia</w:t>
            </w:r>
          </w:p>
        </w:tc>
        <w:tc>
          <w:tcPr>
            <w:tcW w:w="3760" w:type="dxa"/>
            <w:vAlign w:val="bottom"/>
          </w:tcPr>
          <w:p>
            <w:pPr>
              <w:jc w:val="center"/>
              <w:ind w:left="1090"/>
              <w:spacing w:after="0"/>
              <w:rPr>
                <w:sz w:val="20"/>
                <w:szCs w:val="20"/>
                <w:color w:val="auto"/>
              </w:rPr>
            </w:pPr>
            <w:r>
              <w:rPr>
                <w:rFonts w:ascii="Arial" w:cs="Arial" w:eastAsia="Arial" w:hAnsi="Arial"/>
                <w:sz w:val="18"/>
                <w:szCs w:val="18"/>
                <w:i w:val="1"/>
                <w:iCs w:val="1"/>
                <w:color w:val="auto"/>
                <w:w w:val="91"/>
              </w:rPr>
              <w:t>(Zip Code)</w:t>
            </w:r>
          </w:p>
        </w:tc>
      </w:tr>
      <w:tr>
        <w:trPr>
          <w:trHeight w:val="230"/>
        </w:trPr>
        <w:tc>
          <w:tcPr>
            <w:tcW w:w="5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60" w:type="dxa"/>
            <w:vAlign w:val="bottom"/>
          </w:tcPr>
          <w:p>
            <w:pPr>
              <w:spacing w:after="0"/>
              <w:rPr>
                <w:sz w:val="20"/>
                <w:szCs w:val="20"/>
                <w:color w:val="auto"/>
              </w:rPr>
            </w:pP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(404) 266-5500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1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 Smaller reporting company </w:t>
      </w:r>
      <w:r>
        <w:rPr>
          <w:rFonts w:ascii="MS PGothic" w:cs="MS PGothic" w:eastAsia="MS PGothic" w:hAnsi="MS PGothic"/>
          <w:sz w:val="17"/>
          <w:szCs w:val="17"/>
          <w:color w:val="auto"/>
        </w:rPr>
        <w:t>☑</w:t>
      </w:r>
    </w:p>
    <w:p>
      <w:pPr>
        <w:spacing w:after="0" w:line="264" w:lineRule="exact"/>
        <w:rPr>
          <w:sz w:val="24"/>
          <w:szCs w:val="24"/>
          <w:color w:val="auto"/>
        </w:rPr>
      </w:pPr>
    </w:p>
    <w:p>
      <w:pPr>
        <w:spacing w:after="0" w:line="196"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color w:val="auto"/>
        </w:rPr>
        <w:t>The total number of shares of the registrant's Common Stock, $1 par value, outstanding on May 7, 2014 was 20,797,451.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41"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40" w:type="dxa"/>
            <w:vAlign w:val="bottom"/>
            <w:gridSpan w:val="9"/>
          </w:tcPr>
          <w:p>
            <w:pPr>
              <w:jc w:val="center"/>
              <w:ind w:right="920"/>
              <w:spacing w:after="0"/>
              <w:rPr>
                <w:sz w:val="20"/>
                <w:szCs w:val="20"/>
                <w:color w:val="auto"/>
              </w:rPr>
            </w:pPr>
            <w:r>
              <w:rPr>
                <w:rFonts w:ascii="Arial" w:cs="Arial" w:eastAsia="Arial" w:hAnsi="Arial"/>
                <w:sz w:val="18"/>
                <w:szCs w:val="18"/>
                <w:b w:val="1"/>
                <w:bCs w:val="1"/>
                <w:color w:val="auto"/>
              </w:rPr>
              <w:t>ATLANTIC AMERICAN CORPORATION</w:t>
            </w: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0" w:type="dxa"/>
            <w:vAlign w:val="bottom"/>
            <w:gridSpan w:val="8"/>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color w:val="auto"/>
              </w:rPr>
              <w:t>Part I.</w:t>
            </w:r>
          </w:p>
        </w:tc>
        <w:tc>
          <w:tcPr>
            <w:tcW w:w="10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color w:val="auto"/>
                <w:w w:val="93"/>
              </w:rPr>
              <w:t>Financial Information</w:t>
            </w:r>
          </w:p>
        </w:tc>
        <w:tc>
          <w:tcPr>
            <w:tcW w:w="7600" w:type="dxa"/>
            <w:vAlign w:val="bottom"/>
            <w:gridSpan w:val="10"/>
          </w:tcPr>
          <w:p>
            <w:pPr>
              <w:spacing w:after="0"/>
              <w:rPr>
                <w:sz w:val="24"/>
                <w:szCs w:val="24"/>
                <w:color w:val="auto"/>
              </w:rPr>
            </w:pPr>
          </w:p>
        </w:tc>
        <w:tc>
          <w:tcPr>
            <w:tcW w:w="1520" w:type="dxa"/>
            <w:vAlign w:val="bottom"/>
            <w:gridSpan w:val="3"/>
          </w:tcPr>
          <w:p>
            <w:pPr>
              <w:ind w:left="74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453"/>
        </w:trPr>
        <w:tc>
          <w:tcPr>
            <w:tcW w:w="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170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w w:val="91"/>
              </w:rPr>
              <w:t>Financial Statements:</w:t>
            </w:r>
          </w:p>
        </w:tc>
        <w:tc>
          <w:tcPr>
            <w:tcW w:w="760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2014 and December 31, 2013</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2014 and 2013</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for the three months ended March 31, 2014 and 2013</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Shareholders’ Equity for the three months ended March 31, 2014 and 2013</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2014 and 2013</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8">
              <w:r>
                <w:rPr>
                  <w:rFonts w:ascii="Arial" w:cs="Arial" w:eastAsia="Arial" w:hAnsi="Arial"/>
                  <w:sz w:val="18"/>
                  <w:szCs w:val="18"/>
                  <w:color w:val="0000EE"/>
                </w:rPr>
                <w:t>Management’s Discussion and Analysis of Financial Condition and Results of Operations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89"/>
              </w:rPr>
              <w:t>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4">
              <w:r>
                <w:rPr>
                  <w:rFonts w:ascii="Arial" w:cs="Arial" w:eastAsia="Arial" w:hAnsi="Arial"/>
                  <w:sz w:val="18"/>
                  <w:szCs w:val="18"/>
                  <w:color w:val="0000EE"/>
                </w:rPr>
                <w:t>Controls and Procedures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89"/>
              </w:rPr>
              <w:t>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0" w:type="dxa"/>
            <w:vAlign w:val="bottom"/>
          </w:tcPr>
          <w:p>
            <w:pPr>
              <w:spacing w:after="0"/>
              <w:rPr>
                <w:sz w:val="24"/>
                <w:szCs w:val="24"/>
                <w:color w:val="auto"/>
              </w:rPr>
            </w:pPr>
          </w:p>
        </w:tc>
        <w:tc>
          <w:tcPr>
            <w:tcW w:w="9200" w:type="dxa"/>
            <w:vAlign w:val="bottom"/>
            <w:gridSpan w:val="14"/>
          </w:tcPr>
          <w:p>
            <w:pPr>
              <w:ind w:left="40"/>
              <w:spacing w:after="0"/>
              <w:rPr>
                <w:sz w:val="20"/>
                <w:szCs w:val="20"/>
                <w:color w:val="auto"/>
              </w:rPr>
            </w:pPr>
            <w:r>
              <w:rPr>
                <w:rFonts w:ascii="Arial" w:cs="Arial" w:eastAsia="Arial" w:hAnsi="Arial"/>
                <w:sz w:val="18"/>
                <w:szCs w:val="18"/>
                <w:color w:val="auto"/>
              </w:rPr>
              <w:t>Other Information</w:t>
            </w: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5">
              <w:r>
                <w:rPr>
                  <w:rFonts w:ascii="Arial" w:cs="Arial" w:eastAsia="Arial" w:hAnsi="Arial"/>
                  <w:sz w:val="18"/>
                  <w:szCs w:val="18"/>
                  <w:color w:val="0000EE"/>
                </w:rPr>
                <w:t>Unregistered Sales of Equity Securities and Use of Proceeds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89"/>
              </w:rPr>
              <w:t>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00" w:type="dxa"/>
            <w:vAlign w:val="bottom"/>
            <w:gridSpan w:val="15"/>
            <w:shd w:val="clear" w:color="auto" w:fill="CCEEFF"/>
          </w:tcPr>
          <w:p>
            <w:pPr>
              <w:ind w:left="10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8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400" w:type="dxa"/>
            <w:vAlign w:val="bottom"/>
            <w:gridSpan w:val="2"/>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6540" w:type="dxa"/>
            <w:vAlign w:val="bottom"/>
          </w:tcPr>
          <w:p>
            <w:pPr>
              <w:jc w:val="center"/>
              <w:ind w:left="41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740" w:type="dxa"/>
            <w:vAlign w:val="bottom"/>
            <w:gridSpan w:val="4"/>
          </w:tcPr>
          <w:p>
            <w:pPr>
              <w:spacing w:after="0" w:line="190" w:lineRule="exact"/>
              <w:rPr>
                <w:sz w:val="20"/>
                <w:szCs w:val="20"/>
                <w:color w:val="auto"/>
              </w:rPr>
            </w:pPr>
            <w:r>
              <w:rPr>
                <w:rFonts w:ascii="Arial" w:cs="Arial" w:eastAsia="Arial" w:hAnsi="Arial"/>
                <w:sz w:val="18"/>
                <w:szCs w:val="18"/>
                <w:color w:val="auto"/>
              </w:rPr>
              <w:t>Item 1.  Financial Statements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540" w:type="dxa"/>
            <w:vAlign w:val="bottom"/>
          </w:tcPr>
          <w:p>
            <w:pPr>
              <w:jc w:val="center"/>
              <w:ind w:left="410"/>
              <w:spacing w:after="0"/>
              <w:rPr>
                <w:sz w:val="20"/>
                <w:szCs w:val="20"/>
                <w:color w:val="auto"/>
              </w:rPr>
            </w:pPr>
            <w:r>
              <w:rPr>
                <w:rFonts w:ascii="Arial" w:cs="Arial" w:eastAsia="Arial" w:hAnsi="Arial"/>
                <w:sz w:val="18"/>
                <w:szCs w:val="18"/>
                <w:b w:val="1"/>
                <w:bCs w:val="1"/>
                <w:color w:val="auto"/>
              </w:rPr>
              <w:t>ATLANTIC AMERICAN CORPORATION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54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540" w:type="dxa"/>
            <w:vAlign w:val="bottom"/>
          </w:tcPr>
          <w:p>
            <w:pPr>
              <w:jc w:val="center"/>
              <w:ind w:left="390"/>
              <w:spacing w:after="0"/>
              <w:rPr>
                <w:sz w:val="20"/>
                <w:szCs w:val="20"/>
                <w:color w:val="auto"/>
              </w:rPr>
            </w:pPr>
            <w:r>
              <w:rPr>
                <w:rFonts w:ascii="Arial" w:cs="Arial" w:eastAsia="Arial" w:hAnsi="Arial"/>
                <w:sz w:val="18"/>
                <w:szCs w:val="18"/>
                <w:i w:val="1"/>
                <w:iCs w:val="1"/>
                <w:color w:val="auto"/>
                <w:w w:val="90"/>
              </w:rPr>
              <w:t>(Dollars in thousands, except per share data)</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5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2014</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Investments: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Fixed maturities (cost: $201,245 and $201,217)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Common and non-redeemable preferred stocks (cost: $12,164 and $12,432)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17,476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invested assets (cost: $2,077 and $2,123)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Policy loans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Investment in unconsolidated trusts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Reinsurance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Insurance premiums and other (net of allowance for doubtful accounts: $275 and $339)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Deferred acquisition costs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Intangibles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540" w:type="dxa"/>
            <w:vAlign w:val="bottom"/>
            <w:shd w:val="clear" w:color="auto" w:fill="CCEEFF"/>
          </w:tcPr>
          <w:p>
            <w:pPr>
              <w:jc w:val="center"/>
              <w:ind w:left="39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Insurance reserves and policyholder funds: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Future policy benefits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70,054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Unearned premiums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20,757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Losses and claims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Other policy liabilities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insurance reserves and policyholder funds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Junior subordinated debenture obligations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41,238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89"/>
              </w:rPr>
              <w:t>Preferred stock, $1 par, 4,000,000 shares authorized; Series D preferred, 65,000 shares issued and outstanding; $6,500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redemption value</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0"/>
              </w:rPr>
              <w:t>Common stock, $1 par, 50,000,000 shares authorized; shares issued: 22,400,894; shares outstanding: 21,092,519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ind w:left="260"/>
              <w:spacing w:after="0"/>
              <w:rPr>
                <w:sz w:val="20"/>
                <w:szCs w:val="20"/>
                <w:color w:val="auto"/>
              </w:rPr>
            </w:pPr>
            <w:r>
              <w:rPr>
                <w:rFonts w:ascii="Arial" w:cs="Arial" w:eastAsia="Arial" w:hAnsi="Arial"/>
                <w:sz w:val="18"/>
                <w:szCs w:val="18"/>
                <w:color w:val="auto"/>
              </w:rPr>
              <w:t>21,117,874</w:t>
            </w:r>
          </w:p>
        </w:tc>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22,401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19,018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3"/>
          </w:tcPr>
          <w:p>
            <w:pPr>
              <w:ind w:left="120"/>
              <w:spacing w:after="0"/>
              <w:rPr>
                <w:sz w:val="20"/>
                <w:szCs w:val="20"/>
                <w:color w:val="auto"/>
              </w:rPr>
            </w:pPr>
            <w:r>
              <w:rPr>
                <w:rFonts w:ascii="Arial" w:cs="Arial" w:eastAsia="Arial" w:hAnsi="Arial"/>
                <w:sz w:val="18"/>
                <w:szCs w:val="18"/>
                <w:color w:val="auto"/>
              </w:rPr>
              <w:t>Unearned stock grant 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Treasury stock, at cost: 1,308,375 and 1,283,020 shares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101,860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 premiums</w:t>
            </w:r>
          </w:p>
        </w:tc>
        <w:tc>
          <w:tcPr>
            <w:tcW w:w="4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38,418</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Investment income</w:t>
            </w: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Realized investment gains, net</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4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Benefits and expenses:</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Insurance benefits and losses incurred</w:t>
            </w: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Commissions and underwriting expenses</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w:t>
            </w:r>
          </w:p>
        </w:tc>
        <w:tc>
          <w:tcPr>
            <w:tcW w:w="4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Total benefits and expenses</w:t>
            </w: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expense</w:t>
            </w: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applicable to common shareholders</w:t>
            </w:r>
          </w:p>
        </w:tc>
        <w:tc>
          <w:tcPr>
            <w:tcW w:w="4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45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 and diluted)</w:t>
            </w:r>
          </w:p>
        </w:tc>
        <w:tc>
          <w:tcPr>
            <w:tcW w:w="4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040" w:type="dxa"/>
            <w:vAlign w:val="bottom"/>
            <w:gridSpan w:val="3"/>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280" w:type="dxa"/>
            <w:vAlign w:val="bottom"/>
          </w:tcPr>
          <w:p>
            <w:pPr>
              <w:jc w:val="right"/>
              <w:ind w:right="2936"/>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COMPREHENSIVE INCOME </w:t>
      </w:r>
      <w:r>
        <w:rPr>
          <w:rFonts w:ascii="Arial" w:cs="Arial" w:eastAsia="Arial" w:hAnsi="Arial"/>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8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Available-for-sale securities: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20"/>
              <w:spacing w:after="0"/>
              <w:rPr>
                <w:sz w:val="20"/>
                <w:szCs w:val="20"/>
                <w:color w:val="auto"/>
              </w:rPr>
            </w:pPr>
            <w:r>
              <w:rPr>
                <w:rFonts w:ascii="Arial" w:cs="Arial" w:eastAsia="Arial" w:hAnsi="Arial"/>
                <w:sz w:val="18"/>
                <w:szCs w:val="18"/>
                <w:color w:val="auto"/>
              </w:rPr>
              <w:t>Gross unrealized holding gain (loss) arising in the period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(2,246)</w:t>
            </w: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Related income tax effect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r>
        <w:trPr>
          <w:trHeight w:val="216"/>
        </w:trPr>
        <w:tc>
          <w:tcPr>
            <w:tcW w:w="20" w:type="dxa"/>
            <w:vAlign w:val="bottom"/>
          </w:tcPr>
          <w:p>
            <w:pPr>
              <w:spacing w:after="0"/>
              <w:rPr>
                <w:sz w:val="18"/>
                <w:szCs w:val="18"/>
                <w:color w:val="auto"/>
              </w:rPr>
            </w:pPr>
          </w:p>
        </w:tc>
        <w:tc>
          <w:tcPr>
            <w:tcW w:w="8800" w:type="dxa"/>
            <w:vAlign w:val="bottom"/>
            <w:gridSpan w:val="4"/>
          </w:tcPr>
          <w:p>
            <w:pPr>
              <w:ind w:left="120"/>
              <w:spacing w:after="0" w:line="216" w:lineRule="exact"/>
              <w:rPr>
                <w:sz w:val="20"/>
                <w:szCs w:val="20"/>
                <w:color w:val="auto"/>
              </w:rPr>
            </w:pPr>
            <w:r>
              <w:rPr>
                <w:rFonts w:ascii="Arial" w:cs="Arial" w:eastAsia="Arial" w:hAnsi="Arial"/>
                <w:sz w:val="16"/>
                <w:szCs w:val="16"/>
                <w:color w:val="auto"/>
              </w:rPr>
              <w:t xml:space="preserve">Less: reclassification adjustment for net realized gains included in net income </w:t>
            </w:r>
            <w:r>
              <w:rPr>
                <w:rFonts w:ascii="Arial" w:cs="Arial" w:eastAsia="Arial" w:hAnsi="Arial"/>
                <w:sz w:val="25"/>
                <w:szCs w:val="25"/>
                <w:color w:val="auto"/>
                <w:vertAlign w:val="superscript"/>
              </w:rPr>
              <w:t>(1)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80" w:type="dxa"/>
            <w:vAlign w:val="bottom"/>
            <w:tcBorders>
              <w:bottom w:val="single" w:sz="8" w:color="CCEEFF"/>
            </w:tcBorders>
            <w:gridSpan w:val="3"/>
            <w:shd w:val="clear" w:color="auto" w:fill="CCEEFF"/>
          </w:tcPr>
          <w:p>
            <w:pPr>
              <w:ind w:left="200"/>
              <w:spacing w:after="0" w:line="216" w:lineRule="exact"/>
              <w:rPr>
                <w:sz w:val="20"/>
                <w:szCs w:val="20"/>
                <w:color w:val="auto"/>
              </w:rPr>
            </w:pPr>
            <w:r>
              <w:rPr>
                <w:rFonts w:ascii="Arial" w:cs="Arial" w:eastAsia="Arial" w:hAnsi="Arial"/>
                <w:sz w:val="16"/>
                <w:szCs w:val="16"/>
                <w:color w:val="auto"/>
              </w:rPr>
              <w:t xml:space="preserve">Related income tax effect </w:t>
            </w:r>
            <w:r>
              <w:rPr>
                <w:rFonts w:ascii="Arial" w:cs="Arial" w:eastAsia="Arial" w:hAnsi="Arial"/>
                <w:sz w:val="25"/>
                <w:szCs w:val="25"/>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80" w:type="dxa"/>
            <w:vAlign w:val="bottom"/>
            <w:gridSpan w:val="3"/>
          </w:tcPr>
          <w:p>
            <w:pPr>
              <w:ind w:left="340"/>
              <w:spacing w:after="0"/>
              <w:rPr>
                <w:sz w:val="20"/>
                <w:szCs w:val="20"/>
                <w:color w:val="auto"/>
              </w:rPr>
            </w:pPr>
            <w:r>
              <w:rPr>
                <w:rFonts w:ascii="Arial" w:cs="Arial" w:eastAsia="Arial" w:hAnsi="Arial"/>
                <w:sz w:val="18"/>
                <w:szCs w:val="18"/>
                <w:color w:val="auto"/>
              </w:rPr>
              <w:t>Net effect on other comprehensive income (loss)</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(1,901)</w:t>
            </w:r>
          </w:p>
        </w:tc>
      </w:tr>
      <w:tr>
        <w:trPr>
          <w:trHeight w:val="176"/>
        </w:trPr>
        <w:tc>
          <w:tcPr>
            <w:tcW w:w="20" w:type="dxa"/>
            <w:vAlign w:val="bottom"/>
          </w:tcPr>
          <w:p>
            <w:pPr>
              <w:spacing w:after="0"/>
              <w:rPr>
                <w:sz w:val="15"/>
                <w:szCs w:val="15"/>
                <w:color w:val="auto"/>
              </w:rPr>
            </w:pPr>
          </w:p>
        </w:tc>
        <w:tc>
          <w:tcPr>
            <w:tcW w:w="880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financial instrument:</w:t>
            </w: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120"/>
              <w:spacing w:after="0"/>
              <w:rPr>
                <w:sz w:val="20"/>
                <w:szCs w:val="20"/>
                <w:color w:val="auto"/>
              </w:rPr>
            </w:pPr>
            <w:r>
              <w:rPr>
                <w:rFonts w:ascii="Arial" w:cs="Arial" w:eastAsia="Arial" w:hAnsi="Arial"/>
                <w:sz w:val="18"/>
                <w:szCs w:val="18"/>
                <w:color w:val="auto"/>
              </w:rPr>
              <w:t>Fair value adjustment to derivative financial instrument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Related income tax effect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680" w:type="dxa"/>
            <w:vAlign w:val="bottom"/>
            <w:tcBorders>
              <w:top w:val="single" w:sz="8" w:color="CCEEFF"/>
            </w:tcBorders>
            <w:gridSpan w:val="3"/>
          </w:tcPr>
          <w:p>
            <w:pPr>
              <w:ind w:left="340"/>
              <w:spacing w:after="0"/>
              <w:rPr>
                <w:sz w:val="20"/>
                <w:szCs w:val="20"/>
                <w:color w:val="auto"/>
              </w:rPr>
            </w:pPr>
            <w:r>
              <w:rPr>
                <w:rFonts w:ascii="Arial" w:cs="Arial" w:eastAsia="Arial" w:hAnsi="Arial"/>
                <w:sz w:val="18"/>
                <w:szCs w:val="18"/>
                <w:color w:val="auto"/>
              </w:rPr>
              <w:t>Net effect on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 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1,686</w:t>
            </w:r>
          </w:p>
        </w:tc>
        <w:tc>
          <w:tcPr>
            <w:tcW w:w="140" w:type="dxa"/>
            <w:vAlign w:val="bottom"/>
          </w:tcPr>
          <w:p>
            <w:pPr>
              <w:spacing w:after="0"/>
              <w:rPr>
                <w:sz w:val="18"/>
                <w:szCs w:val="18"/>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00" w:hanging="328"/>
        <w:spacing w:after="0" w:line="194" w:lineRule="auto"/>
        <w:tabs>
          <w:tab w:leader="none" w:pos="6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Realized gains on available-for-sale securities recognized in realized investment gains, net on the accompanying condensed consolidated statements of operations.</w:t>
      </w:r>
    </w:p>
    <w:p>
      <w:pPr>
        <w:ind w:left="660" w:right="100" w:hanging="328"/>
        <w:spacing w:after="0" w:line="187" w:lineRule="auto"/>
        <w:tabs>
          <w:tab w:leader="none" w:pos="66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Income tax effect on reclassification adjustment for net realized gains included in income tax expense on the accompanying condensed consolidated statements of operations.</w:t>
      </w:r>
    </w:p>
    <w:p>
      <w:pPr>
        <w:spacing w:after="0" w:line="20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260" w:right="2440"/>
        <w:spacing w:after="0" w:line="266" w:lineRule="auto"/>
        <w:rPr>
          <w:sz w:val="20"/>
          <w:szCs w:val="20"/>
          <w:color w:val="auto"/>
        </w:rPr>
      </w:pPr>
      <w:r>
        <w:rPr>
          <w:rFonts w:ascii="Arial" w:cs="Arial" w:eastAsia="Arial" w:hAnsi="Arial"/>
          <w:sz w:val="18"/>
          <w:szCs w:val="18"/>
          <w:b w:val="1"/>
          <w:bCs w:val="1"/>
          <w:color w:val="auto"/>
        </w:rPr>
        <w:t xml:space="preserve">ATLANTIC AMERICAN CORPORATION CONDENSED CONSOLIDATED STATEMENTS OF SHAREHOLDERS’ EQUITY </w:t>
      </w:r>
      <w:r>
        <w:rPr>
          <w:rFonts w:ascii="Arial" w:cs="Arial" w:eastAsia="Arial" w:hAnsi="Arial"/>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Unearned</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March 31, 2014</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Preferred</w:t>
            </w: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Paid-In</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Retained</w:t>
            </w:r>
          </w:p>
        </w:tc>
        <w:tc>
          <w:tcPr>
            <w:tcW w:w="8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Comprehensive</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Stock Grant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Treasury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Stock</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Stock</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6"/>
              </w:rPr>
              <w:t>Capital</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Earnings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Income</w:t>
            </w:r>
          </w:p>
        </w:tc>
        <w:tc>
          <w:tcPr>
            <w:tcW w:w="1240" w:type="dxa"/>
            <w:vAlign w:val="bottom"/>
            <w:gridSpan w:val="3"/>
          </w:tcPr>
          <w:p>
            <w:pPr>
              <w:spacing w:after="0"/>
              <w:rPr>
                <w:sz w:val="20"/>
                <w:szCs w:val="20"/>
                <w:color w:val="auto"/>
              </w:rPr>
            </w:pPr>
            <w:r>
              <w:rPr>
                <w:rFonts w:ascii="Arial" w:cs="Arial" w:eastAsia="Arial" w:hAnsi="Arial"/>
                <w:sz w:val="18"/>
                <w:szCs w:val="18"/>
                <w:color w:val="auto"/>
              </w:rPr>
              <w:t>Compensation</w:t>
            </w:r>
          </w:p>
        </w:tc>
        <w:tc>
          <w:tcPr>
            <w:tcW w:w="1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57,103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comprehensive income, 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Dividends declared on 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stock</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unearned compensation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Purchase of shares for treasury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stock plans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 March 31, 2014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22,401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57,212</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19,018</w:t>
            </w:r>
          </w:p>
        </w:tc>
        <w:tc>
          <w:tcPr>
            <w:tcW w:w="2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7,070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(3,330)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101,860</w:t>
            </w:r>
          </w:p>
        </w:tc>
        <w:tc>
          <w:tcPr>
            <w:tcW w:w="0" w:type="dxa"/>
            <w:vAlign w:val="bottom"/>
          </w:tcPr>
          <w:p>
            <w:pPr>
              <w:spacing w:after="0"/>
              <w:rPr>
                <w:sz w:val="1"/>
                <w:szCs w:val="1"/>
                <w:color w:val="auto"/>
              </w:rPr>
            </w:pPr>
          </w:p>
        </w:tc>
      </w:tr>
      <w:tr>
        <w:trPr>
          <w:trHeight w:val="21"/>
        </w:trPr>
        <w:tc>
          <w:tcPr>
            <w:tcW w:w="3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Three Months Ended March 31, 2013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57,180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8,621</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Dividends declared on 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stock</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Purchase of shares for treasury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22,401</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17,762</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104,027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rPr>
              <w:t>ATLANTIC AMERICAN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i w:val="1"/>
                <w:iCs w:val="1"/>
                <w:color w:val="auto"/>
                <w:w w:val="93"/>
              </w:rPr>
              <w:t>(Unaudited;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deferred acquisition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Acquisition costs deferred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Decrease in insurance reserves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Compensation expense related to share awards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Decrease in receivables,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 other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investments sold, called or matured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purchased</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Additions to property and equipment</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shares issued under stock plans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shares for treasury</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(5,924)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27,178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18,777</w:t>
            </w: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ATLANTIC AMERICAN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Dollars in thousands, except per share amounts)</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1.</w:t>
      </w:r>
      <w:r>
        <w:rPr>
          <w:sz w:val="20"/>
          <w:szCs w:val="20"/>
          <w:color w:val="auto"/>
        </w:rPr>
        <w:tab/>
      </w:r>
      <w:r>
        <w:rPr>
          <w:rFonts w:ascii="Arial" w:cs="Arial" w:eastAsia="Arial" w:hAnsi="Arial"/>
          <w:sz w:val="16"/>
          <w:szCs w:val="16"/>
          <w:color w:val="auto"/>
        </w:rPr>
        <w:t>Basis of Presentation</w:t>
      </w:r>
    </w:p>
    <w:p>
      <w:pPr>
        <w:spacing w:after="0" w:line="25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include the accounts of Atlantic American Corporation (the “Parent”) and its subsidiaries (collectively with the Parent, the “Company”). All significant intercompany accounts and transactions have been eliminated in consolidation. The accompanying statements have been prepared in accordance with accounting principles generally accepted in the United States of America (“GAAP”) for interim financial information and with the instructions to Form 10-Q and Article 8 of Regulation S-X. Accordingly, they do not include all of the information and notes required by GAAP for audited annual financial statements. In the opinion of management, all adjustments (consisting only of normal recurring adjustments) considered necessary for a fair presentation have been included. The unaudited condensed consolidated financial statements included herein and these related notes should be read in conjunction with the Company’s consolidated financial statements, and the notes thereto, included in the Company’s Annual Report on Form 10-K for the year ended December 31, 2013. The Company’s financial condition and results of operations as of and for the three month period ended March 31, 2014 are not necessarily indicative of the financial condition or results of operations that may be expected for the year ending December 31, 2014 or for any other future period.</w:t>
      </w:r>
    </w:p>
    <w:p>
      <w:pPr>
        <w:spacing w:after="0" w:line="178"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 of assets and liabilities, disclosures of contingent assets and liabilities at the date of the financial statements, and the reported amounts of revenues and expenses during the reporting period. Actual results could differ materially from those estimates.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2.</w:t>
      </w:r>
      <w:r>
        <w:rPr>
          <w:sz w:val="20"/>
          <w:szCs w:val="20"/>
          <w:color w:val="auto"/>
        </w:rPr>
        <w:tab/>
      </w:r>
      <w:r>
        <w:rPr>
          <w:rFonts w:ascii="Arial" w:cs="Arial" w:eastAsia="Arial" w:hAnsi="Arial"/>
          <w:sz w:val="16"/>
          <w:szCs w:val="16"/>
          <w:color w:val="auto"/>
        </w:rPr>
        <w:t>Segment Information</w:t>
      </w:r>
    </w:p>
    <w:p>
      <w:pPr>
        <w:spacing w:after="0" w:line="25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Company’s primary operating subsidiaries, American Southern Insurance Company and American Safety Insurance Company (together known as “American Southern”) and Bankers Fidelity Life Insurance Company and Bankers Fidelity Assurance Company (together known as “Bankers Fidelity”) operate in two principal business units, each focusing on specific products. American Southern operates in the property and casualty insurance market, while Bankers Fidelity operates in the life and health insurance market. Each business unit is managed independently and is evaluated on its individual performance. The following sets forth the revenue and income before income taxes for each business unit for the three month periods ended March 31, 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6"/>
          </w:tcPr>
          <w:p>
            <w:pPr>
              <w:jc w:val="center"/>
              <w:ind w:right="26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39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Bankers Fidelity</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26,838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25,938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41,160</w:t>
            </w:r>
          </w:p>
        </w:tc>
        <w:tc>
          <w:tcPr>
            <w:tcW w:w="1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36,650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6"/>
          </w:tcPr>
          <w:p>
            <w:pPr>
              <w:jc w:val="center"/>
              <w:ind w:right="262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3920" w:type="dxa"/>
            <w:vAlign w:val="bottom"/>
            <w:gridSpan w:val="2"/>
            <w:vMerge w:val="continue"/>
          </w:tcPr>
          <w:p>
            <w:pPr>
              <w:spacing w:after="0"/>
              <w:rPr>
                <w:sz w:val="20"/>
                <w:szCs w:val="20"/>
                <w:color w:val="auto"/>
              </w:rPr>
            </w:pPr>
          </w:p>
        </w:tc>
        <w:tc>
          <w:tcPr>
            <w:tcW w:w="2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American Southern</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Bankers Fidelity</w:t>
            </w:r>
          </w:p>
        </w:tc>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c>
          <w:tcPr>
            <w:tcW w:w="28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vMerge w:val="restart"/>
          </w:tcPr>
          <w:p>
            <w:pPr>
              <w:jc w:val="right"/>
              <w:ind w:right="656"/>
              <w:spacing w:after="0"/>
              <w:rPr>
                <w:sz w:val="20"/>
                <w:szCs w:val="20"/>
                <w:color w:val="auto"/>
              </w:rPr>
            </w:pPr>
            <w:r>
              <w:rPr>
                <w:rFonts w:ascii="Arial" w:cs="Arial" w:eastAsia="Arial" w:hAnsi="Arial"/>
                <w:sz w:val="14"/>
                <w:szCs w:val="14"/>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3.</w:t>
      </w:r>
      <w:r>
        <w:rPr>
          <w:sz w:val="20"/>
          <w:szCs w:val="20"/>
          <w:color w:val="auto"/>
        </w:rPr>
        <w:tab/>
      </w:r>
      <w:r>
        <w:rPr>
          <w:rFonts w:ascii="Arial" w:cs="Arial" w:eastAsia="Arial" w:hAnsi="Arial"/>
          <w:sz w:val="16"/>
          <w:szCs w:val="16"/>
          <w:color w:val="auto"/>
        </w:rPr>
        <w:t>Junior Subordinated Debentures</w:t>
      </w:r>
    </w:p>
    <w:p>
      <w:pPr>
        <w:spacing w:after="0" w:line="2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Atlantic American; and (iii) engaging in only those activities necessary or incidental thereto.</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financial structure of each of Atlantic American Statutory Trust I and II as of March 31, 2014 was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w w:val="98"/>
              </w:rPr>
              <w:t>Atlantic American</w:t>
            </w:r>
          </w:p>
        </w:tc>
        <w:tc>
          <w:tcPr>
            <w:tcW w:w="2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w w:val="99"/>
              </w:rPr>
              <w:t>Atlantic American</w:t>
            </w:r>
          </w:p>
        </w:tc>
        <w:tc>
          <w:tcPr>
            <w:tcW w:w="120" w:type="dxa"/>
            <w:vAlign w:val="bottom"/>
          </w:tcPr>
          <w:p>
            <w:pPr>
              <w:spacing w:after="0"/>
              <w:rPr>
                <w:sz w:val="18"/>
                <w:szCs w:val="18"/>
                <w:color w:val="auto"/>
              </w:rPr>
            </w:pPr>
          </w:p>
        </w:tc>
      </w:tr>
      <w:tr>
        <w:trPr>
          <w:trHeight w:val="237"/>
        </w:trPr>
        <w:tc>
          <w:tcPr>
            <w:tcW w:w="5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Statutory Trust I</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Statutory Trust II</w:t>
            </w:r>
          </w:p>
        </w:tc>
        <w:tc>
          <w:tcPr>
            <w:tcW w:w="120" w:type="dxa"/>
            <w:vAlign w:val="bottom"/>
          </w:tcPr>
          <w:p>
            <w:pPr>
              <w:spacing w:after="0"/>
              <w:rPr>
                <w:sz w:val="20"/>
                <w:szCs w:val="20"/>
                <w:color w:val="auto"/>
              </w:rPr>
            </w:pPr>
          </w:p>
        </w:tc>
      </w:tr>
      <w:tr>
        <w:trPr>
          <w:trHeight w:val="216"/>
        </w:trPr>
        <w:tc>
          <w:tcPr>
            <w:tcW w:w="5340" w:type="dxa"/>
            <w:vAlign w:val="bottom"/>
          </w:tcPr>
          <w:p>
            <w:pPr>
              <w:spacing w:after="0" w:line="216" w:lineRule="exact"/>
              <w:rPr>
                <w:sz w:val="20"/>
                <w:szCs w:val="20"/>
                <w:color w:val="auto"/>
              </w:rPr>
            </w:pPr>
            <w:r>
              <w:rPr>
                <w:rFonts w:ascii="Arial" w:cs="Arial" w:eastAsia="Arial" w:hAnsi="Arial"/>
                <w:sz w:val="16"/>
                <w:szCs w:val="16"/>
                <w:color w:val="auto"/>
              </w:rPr>
              <w:t xml:space="preserve">JUNIOR SUBORDINATED DEBENTURES </w:t>
            </w:r>
            <w:r>
              <w:rPr>
                <w:rFonts w:ascii="Arial" w:cs="Arial" w:eastAsia="Arial" w:hAnsi="Arial"/>
                <w:sz w:val="25"/>
                <w:szCs w:val="25"/>
                <w:color w:val="auto"/>
                <w:vertAlign w:val="superscript"/>
              </w:rPr>
              <w:t>(1) (2)</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owed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Balance March 31, 2014</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Coupon rate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LIBOR + 4.00%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LIBOR + 4.10%</w:t>
            </w: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Quarterly</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Maturity date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w w:val="90"/>
              </w:rPr>
              <w:t>December 4, 2032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May 15, 2033</w:t>
            </w: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Redeemable by issuer</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TRUST PREFERRED SECURITIES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Issuance date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December 4, 2002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15, 2003</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Securities issued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Liquidation preference per security</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Liquidation value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Coupon rate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LIBOR + 4.00%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LIBOR + 4.10%</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Distribution payable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Quarterly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Quarterly</w:t>
            </w:r>
          </w:p>
        </w:tc>
        <w:tc>
          <w:tcPr>
            <w:tcW w:w="120" w:type="dxa"/>
            <w:vAlign w:val="bottom"/>
          </w:tcPr>
          <w:p>
            <w:pPr>
              <w:spacing w:after="0"/>
              <w:rPr>
                <w:sz w:val="18"/>
                <w:szCs w:val="18"/>
                <w:color w:val="auto"/>
              </w:rPr>
            </w:pP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Distribution guaranteed by </w:t>
            </w:r>
            <w:r>
              <w:rPr>
                <w:rFonts w:ascii="Arial" w:cs="Arial" w:eastAsia="Arial" w:hAnsi="Arial"/>
                <w:sz w:val="23"/>
                <w:szCs w:val="23"/>
                <w:color w:val="auto"/>
                <w:vertAlign w:val="superscript"/>
              </w:rPr>
              <w:t>(3)</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Atlantic American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Atlantic American</w:t>
            </w:r>
          </w:p>
        </w:tc>
        <w:tc>
          <w:tcPr>
            <w:tcW w:w="12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Corporation</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Corporation</w:t>
            </w:r>
          </w:p>
        </w:tc>
        <w:tc>
          <w:tcPr>
            <w:tcW w:w="12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500" w:right="100" w:hanging="330"/>
        <w:spacing w:after="0" w:line="273"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205" w:lineRule="exact"/>
        <w:rPr>
          <w:rFonts w:ascii="Arial" w:cs="Arial" w:eastAsia="Arial" w:hAnsi="Arial"/>
          <w:sz w:val="17"/>
          <w:szCs w:val="17"/>
          <w:color w:val="auto"/>
        </w:rPr>
      </w:pPr>
    </w:p>
    <w:p>
      <w:pPr>
        <w:ind w:left="500" w:right="66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197" w:lineRule="exact"/>
        <w:rPr>
          <w:rFonts w:ascii="Arial" w:cs="Arial" w:eastAsia="Arial" w:hAnsi="Arial"/>
          <w:sz w:val="18"/>
          <w:szCs w:val="18"/>
          <w:color w:val="auto"/>
        </w:rPr>
      </w:pPr>
    </w:p>
    <w:p>
      <w:pPr>
        <w:ind w:left="500" w:right="260" w:hanging="330"/>
        <w:spacing w:after="0" w:line="342"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u w:val="single" w:color="auto"/>
          <w:color w:val="auto"/>
        </w:rPr>
        <w:t>Note 4.</w:t>
      </w:r>
      <w:r>
        <w:rPr>
          <w:sz w:val="20"/>
          <w:szCs w:val="20"/>
          <w:color w:val="auto"/>
        </w:rPr>
        <w:tab/>
      </w:r>
      <w:r>
        <w:rPr>
          <w:rFonts w:ascii="Arial" w:cs="Arial" w:eastAsia="Arial" w:hAnsi="Arial"/>
          <w:sz w:val="16"/>
          <w:szCs w:val="16"/>
          <w:color w:val="auto"/>
        </w:rPr>
        <w:t>Earnings Per Common Share</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numerator and denominator used in the earnings per common share calculations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1"/>
              </w:rPr>
              <w:t>March 31, 2014</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5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Basic and Diluted Earnings Per Common Share: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21,073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preferred stock dividends</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21,073</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1"/>
              </w:rPr>
              <w:t>March 31, 2013</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color w:val="auto"/>
                <w:w w:val="86"/>
              </w:rPr>
              <w:t>Per Share</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50"/>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 thousands)</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i w:val="1"/>
                <w:iCs w:val="1"/>
                <w:color w:val="auto"/>
              </w:rPr>
              <w:t>Basic Earnings Per Common Share:</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21,182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preferred stock dividends</w:t>
            </w: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Diluted Earnings Per Common Share:</w:t>
            </w: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20"/>
              <w:spacing w:after="0"/>
              <w:rPr>
                <w:sz w:val="20"/>
                <w:szCs w:val="20"/>
                <w:color w:val="auto"/>
              </w:rPr>
            </w:pPr>
            <w:r>
              <w:rPr>
                <w:rFonts w:ascii="Arial" w:cs="Arial" w:eastAsia="Arial" w:hAnsi="Arial"/>
                <w:sz w:val="18"/>
                <w:szCs w:val="18"/>
                <w:color w:val="auto"/>
              </w:rPr>
              <w:t>Net income applicable to common shareholders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assumed conversion of the Company’s Series D preferred stock was excluded from the earnings per common share calculation for all periods presented since its impact would have been antidilutive. There were no stock options outstanding in the three month period ended March 31, 2014.</w:t>
      </w:r>
    </w:p>
    <w:p>
      <w:pPr>
        <w:spacing w:after="0" w:line="14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5.</w:t>
      </w:r>
      <w:r>
        <w:rPr>
          <w:sz w:val="20"/>
          <w:szCs w:val="20"/>
          <w:color w:val="auto"/>
        </w:rPr>
        <w:tab/>
      </w:r>
      <w:r>
        <w:rPr>
          <w:rFonts w:ascii="Arial" w:cs="Arial" w:eastAsia="Arial" w:hAnsi="Arial"/>
          <w:sz w:val="15"/>
          <w:szCs w:val="15"/>
          <w:color w:val="auto"/>
        </w:rPr>
        <w:t>Income Taxes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 reconciliation of the differences between income taxes computed at the federal statutory income tax rate and income tax expense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jc w:val="right"/>
              <w:ind w:right="4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March 31,</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 of 35%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Dividends-received deduction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Small life insurance company deduction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(116)</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asset valuation allowance due to change in judgment relating to realizability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deferred tax assets</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tcPr>
          <w:p>
            <w:pPr>
              <w:jc w:val="right"/>
              <w:ind w:right="615"/>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0" w:type="dxa"/>
            <w:vAlign w:val="bottom"/>
            <w:gridSpan w:val="2"/>
            <w:vMerge w:val="restart"/>
          </w:tcPr>
          <w:p>
            <w:pPr>
              <w:jc w:val="right"/>
              <w:ind w:right="51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540" w:type="dxa"/>
            <w:vAlign w:val="bottom"/>
            <w:gridSpan w:val="2"/>
          </w:tcPr>
          <w:p>
            <w:pPr>
              <w:ind w:left="480"/>
              <w:spacing w:after="0"/>
              <w:rPr>
                <w:sz w:val="20"/>
                <w:szCs w:val="20"/>
                <w:color w:val="auto"/>
              </w:rPr>
            </w:pPr>
            <w:r>
              <w:rPr>
                <w:rFonts w:ascii="Arial" w:cs="Arial" w:eastAsia="Arial" w:hAnsi="Arial"/>
                <w:sz w:val="18"/>
                <w:szCs w:val="18"/>
                <w:color w:val="auto"/>
              </w:rPr>
              <w:t>The components of income tax expense were:</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100" w:type="dxa"/>
            <w:vAlign w:val="bottom"/>
            <w:gridSpan w:val="4"/>
          </w:tcPr>
          <w:p>
            <w:pPr>
              <w:jc w:val="right"/>
              <w:ind w:right="4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w w:val="99"/>
              </w:rPr>
              <w:t>March 31,</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 Federal</w:t>
            </w:r>
          </w:p>
        </w:tc>
        <w:tc>
          <w:tcPr>
            <w:tcW w:w="78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Deferred – Federal</w:t>
            </w: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65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(237)</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54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173</w:t>
            </w:r>
          </w:p>
        </w:tc>
        <w:tc>
          <w:tcPr>
            <w:tcW w:w="200" w:type="dxa"/>
            <w:vAlign w:val="bottom"/>
          </w:tcPr>
          <w:p>
            <w:pPr>
              <w:spacing w:after="0"/>
              <w:rPr>
                <w:sz w:val="18"/>
                <w:szCs w:val="18"/>
                <w:color w:val="auto"/>
              </w:rPr>
            </w:pP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period ended March 31, 2014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$3,000 and is ultimately phased out at $15,000. The change in deferred tax asset valuation allowance was due to the unanticipated utilization of certain capital loss carryforward benefits that had been previously reduced to zero through an existing valuation allowance reserve.</w:t>
      </w:r>
    </w:p>
    <w:p>
      <w:pPr>
        <w:spacing w:after="0" w:line="219"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period ended March 31, 2013 resulted from the DRD and the change in deferred tax asset valuation allowance. The change in deferred tax asset valuation allowance was also due to the utilization of certain capital loss carryforward benefits.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6.</w:t>
      </w:r>
      <w:r>
        <w:rPr>
          <w:sz w:val="20"/>
          <w:szCs w:val="20"/>
          <w:color w:val="auto"/>
        </w:rPr>
        <w:tab/>
      </w:r>
      <w:r>
        <w:rPr>
          <w:rFonts w:ascii="Arial" w:cs="Arial" w:eastAsia="Arial" w:hAnsi="Arial"/>
          <w:sz w:val="16"/>
          <w:szCs w:val="16"/>
          <w:color w:val="auto"/>
        </w:rPr>
        <w:t>Commitments and Contingencies</w:t>
      </w:r>
    </w:p>
    <w:p>
      <w:pPr>
        <w:spacing w:after="0" w:line="25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From time to time, the Company is, and expects to continue to be, involved in various claims and lawsuits incidental to and in the ordinary course of its businesses. In the opinion of management, any such known claims are not expected to have a material effect on the financial condition or results of operations of the Company.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7.</w:t>
      </w:r>
      <w:r>
        <w:rPr>
          <w:sz w:val="20"/>
          <w:szCs w:val="20"/>
          <w:color w:val="auto"/>
        </w:rPr>
        <w:tab/>
      </w:r>
      <w:r>
        <w:rPr>
          <w:rFonts w:ascii="Arial" w:cs="Arial" w:eastAsia="Arial" w:hAnsi="Arial"/>
          <w:sz w:val="15"/>
          <w:szCs w:val="15"/>
          <w:color w:val="auto"/>
        </w:rPr>
        <w:t>Investments</w:t>
      </w:r>
    </w:p>
    <w:p>
      <w:pPr>
        <w:spacing w:after="0" w:line="25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following tables set forth the carrying value, gross unrealized gains, gross unrealized losses and amortized cost of the Company’s investments, aggregated by type and industry, as of March 31, 2014 and December 31,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Investments were comprised of the following: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color w:val="auto"/>
              </w:rPr>
              <w:t>March 31, 2014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r>
      <w:tr>
        <w:trPr>
          <w:trHeight w:val="202"/>
        </w:trPr>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maturities:</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U.S. Treasury securities and obligations of U.S. Government agencies and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20,754</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12,625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51,898</w:t>
            </w: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70,335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36,023</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Total corporate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170,881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Redeemable preferred stocks: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Financial services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Total redeemable preferred stocks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fixed maturities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206,809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and non-redeemable preferred stocks: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Utilities and telecom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Financial services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w:t>
            </w:r>
          </w:p>
        </w:tc>
      </w:tr>
      <w:tr>
        <w:trPr>
          <w:trHeight w:val="216"/>
        </w:trPr>
        <w:tc>
          <w:tcPr>
            <w:tcW w:w="20" w:type="dxa"/>
            <w:vAlign w:val="bottom"/>
          </w:tcPr>
          <w:p>
            <w:pPr>
              <w:spacing w:after="0"/>
              <w:rPr>
                <w:sz w:val="18"/>
                <w:szCs w:val="18"/>
                <w:color w:val="auto"/>
              </w:rPr>
            </w:pPr>
          </w:p>
        </w:tc>
        <w:tc>
          <w:tcPr>
            <w:tcW w:w="5940" w:type="dxa"/>
            <w:vAlign w:val="bottom"/>
          </w:tcPr>
          <w:p>
            <w:pPr>
              <w:ind w:left="460"/>
              <w:spacing w:after="0"/>
              <w:rPr>
                <w:sz w:val="20"/>
                <w:szCs w:val="20"/>
                <w:color w:val="auto"/>
              </w:rPr>
            </w:pPr>
            <w:r>
              <w:rPr>
                <w:rFonts w:ascii="Arial" w:cs="Arial" w:eastAsia="Arial" w:hAnsi="Arial"/>
                <w:sz w:val="18"/>
                <w:szCs w:val="18"/>
                <w:color w:val="auto"/>
              </w:rPr>
              <w:t>Other business – diversified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consumer – diversified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Total equity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Policy 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Investments in unconsolidated trusts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investments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5960" w:type="dxa"/>
            <w:vAlign w:val="bottom"/>
            <w:gridSpan w:val="2"/>
          </w:tcPr>
          <w:p>
            <w:pPr>
              <w:jc w:val="right"/>
              <w:ind w:right="3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color w:val="auto"/>
              </w:rPr>
              <w:t>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r>
      <w:tr>
        <w:trPr>
          <w:trHeight w:val="202"/>
        </w:trPr>
        <w:tc>
          <w:tcPr>
            <w:tcW w:w="5880" w:type="dxa"/>
            <w:vAlign w:val="bottom"/>
            <w:gridSpan w:val="3"/>
          </w:tcPr>
          <w:p>
            <w:pPr>
              <w:spacing w:after="0" w:line="201" w:lineRule="exact"/>
              <w:rPr>
                <w:sz w:val="20"/>
                <w:szCs w:val="20"/>
                <w:color w:val="auto"/>
              </w:rPr>
            </w:pPr>
            <w:r>
              <w:rPr>
                <w:rFonts w:ascii="Arial" w:cs="Arial" w:eastAsia="Arial" w:hAnsi="Arial"/>
                <w:sz w:val="18"/>
                <w:szCs w:val="18"/>
                <w:color w:val="auto"/>
              </w:rPr>
              <w:t>Fixed maturities:</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tcPr>
          <w:p>
            <w:pPr>
              <w:ind w:left="120"/>
              <w:spacing w:after="0"/>
              <w:rPr>
                <w:sz w:val="20"/>
                <w:szCs w:val="20"/>
                <w:color w:val="auto"/>
              </w:rPr>
            </w:pPr>
            <w:r>
              <w:rPr>
                <w:rFonts w:ascii="Arial" w:cs="Arial" w:eastAsia="Arial" w:hAnsi="Arial"/>
                <w:sz w:val="18"/>
                <w:szCs w:val="18"/>
                <w:color w:val="auto"/>
              </w:rPr>
              <w:t>Bonds: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U.S. Treasury securities and obligations of U.S. Government agencies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authorities</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16,874</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Obligations of states and political subdivisions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7,226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securities: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1,353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15,186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49,115</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48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70,326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72,362</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38,066</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corporate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174,729</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Redeemable preferred stocks: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Financial services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460"/>
              <w:spacing w:after="0"/>
              <w:rPr>
                <w:sz w:val="20"/>
                <w:szCs w:val="20"/>
                <w:color w:val="auto"/>
              </w:rPr>
            </w:pPr>
            <w:r>
              <w:rPr>
                <w:rFonts w:ascii="Arial" w:cs="Arial" w:eastAsia="Arial" w:hAnsi="Arial"/>
                <w:sz w:val="18"/>
                <w:szCs w:val="18"/>
                <w:color w:val="auto"/>
              </w:rPr>
              <w:t>Total redeemable preferred stocks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fixed maturities</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Common and non-redeemable preferred stocks: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Utilities and telecom</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Financial services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5,807</w:t>
            </w:r>
          </w:p>
        </w:tc>
      </w:tr>
      <w:tr>
        <w:trPr>
          <w:trHeight w:val="216"/>
        </w:trPr>
        <w:tc>
          <w:tcPr>
            <w:tcW w:w="20" w:type="dxa"/>
            <w:vAlign w:val="bottom"/>
          </w:tcPr>
          <w:p>
            <w:pPr>
              <w:spacing w:after="0"/>
              <w:rPr>
                <w:sz w:val="18"/>
                <w:szCs w:val="18"/>
                <w:color w:val="auto"/>
              </w:rPr>
            </w:pPr>
          </w:p>
        </w:tc>
        <w:tc>
          <w:tcPr>
            <w:tcW w:w="5860" w:type="dxa"/>
            <w:vAlign w:val="bottom"/>
            <w:gridSpan w:val="2"/>
          </w:tcPr>
          <w:p>
            <w:pPr>
              <w:ind w:left="320"/>
              <w:spacing w:after="0"/>
              <w:rPr>
                <w:sz w:val="20"/>
                <w:szCs w:val="20"/>
                <w:color w:val="auto"/>
              </w:rPr>
            </w:pPr>
            <w:r>
              <w:rPr>
                <w:rFonts w:ascii="Arial" w:cs="Arial" w:eastAsia="Arial" w:hAnsi="Arial"/>
                <w:sz w:val="18"/>
                <w:szCs w:val="18"/>
                <w:color w:val="auto"/>
              </w:rPr>
              <w:t>Other business – diversified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consumer – diversified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860" w:type="dxa"/>
            <w:vAlign w:val="bottom"/>
            <w:gridSpan w:val="2"/>
          </w:tcPr>
          <w:p>
            <w:pPr>
              <w:ind w:left="640"/>
              <w:spacing w:after="0"/>
              <w:rPr>
                <w:sz w:val="20"/>
                <w:szCs w:val="20"/>
                <w:color w:val="auto"/>
              </w:rPr>
            </w:pPr>
            <w:r>
              <w:rPr>
                <w:rFonts w:ascii="Arial" w:cs="Arial" w:eastAsia="Arial" w:hAnsi="Arial"/>
                <w:sz w:val="18"/>
                <w:szCs w:val="18"/>
                <w:color w:val="auto"/>
              </w:rPr>
              <w:t>Total equity securities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12,432</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Policy loans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Investments in unconsolidated trusts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1,238</w:t>
            </w:r>
          </w:p>
        </w:tc>
      </w:tr>
      <w:tr>
        <w:trPr>
          <w:trHeight w:val="257"/>
        </w:trPr>
        <w:tc>
          <w:tcPr>
            <w:tcW w:w="20" w:type="dxa"/>
            <w:vAlign w:val="bottom"/>
          </w:tcPr>
          <w:p>
            <w:pPr>
              <w:spacing w:after="0"/>
              <w:rPr>
                <w:sz w:val="22"/>
                <w:szCs w:val="22"/>
                <w:color w:val="auto"/>
              </w:rPr>
            </w:pPr>
          </w:p>
        </w:tc>
        <w:tc>
          <w:tcPr>
            <w:tcW w:w="58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amortized cost and carrying value of the Company’s investments in fixed maturities at March 31, 2014 by contractual maturity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Actual maturities may differ from contractual maturities because issuers may call or prepay obligations with or without call or prepayment penalties.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20" w:type="dxa"/>
            <w:vAlign w:val="bottom"/>
            <w:gridSpan w:val="6"/>
          </w:tcPr>
          <w:p>
            <w:pPr>
              <w:ind w:left="500"/>
              <w:spacing w:after="0"/>
              <w:rPr>
                <w:sz w:val="20"/>
                <w:szCs w:val="20"/>
                <w:color w:val="auto"/>
              </w:rPr>
            </w:pPr>
            <w:r>
              <w:rPr>
                <w:rFonts w:ascii="Arial" w:cs="Arial" w:eastAsia="Arial" w:hAnsi="Arial"/>
                <w:sz w:val="18"/>
                <w:szCs w:val="18"/>
                <w:color w:val="auto"/>
              </w:rPr>
              <w:t>March 31,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rPr>
              <w:t>Carrying</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20"/>
                <w:szCs w:val="20"/>
                <w:color w:val="auto"/>
              </w:rPr>
            </w:pPr>
          </w:p>
        </w:tc>
        <w:tc>
          <w:tcPr>
            <w:tcW w:w="3420" w:type="dxa"/>
            <w:vAlign w:val="bottom"/>
            <w:gridSpan w:val="3"/>
          </w:tcPr>
          <w:p>
            <w:pPr>
              <w:jc w:val="center"/>
              <w:ind w:right="2540"/>
              <w:spacing w:after="0"/>
              <w:rPr>
                <w:sz w:val="20"/>
                <w:szCs w:val="20"/>
                <w:color w:val="auto"/>
              </w:rPr>
            </w:pPr>
            <w:r>
              <w:rPr>
                <w:rFonts w:ascii="Arial" w:cs="Arial" w:eastAsia="Arial" w:hAnsi="Arial"/>
                <w:sz w:val="18"/>
                <w:szCs w:val="18"/>
                <w:color w:val="auto"/>
                <w:w w:val="86"/>
              </w:rPr>
              <w:t>Cost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11,896</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11,323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117,124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114,038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Due after ten years</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69,279</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67,590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Varying maturities</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Totals</w:t>
            </w:r>
          </w:p>
        </w:tc>
        <w:tc>
          <w:tcPr>
            <w:tcW w:w="2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206,809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201,245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vMerge w:val="restart"/>
          </w:tcPr>
          <w:p>
            <w:pPr>
              <w:jc w:val="right"/>
              <w:ind w:right="619"/>
              <w:spacing w:after="0"/>
              <w:rPr>
                <w:sz w:val="20"/>
                <w:szCs w:val="20"/>
                <w:color w:val="auto"/>
              </w:rPr>
            </w:pPr>
            <w:r>
              <w:rPr>
                <w:rFonts w:ascii="Arial" w:cs="Arial" w:eastAsia="Arial" w:hAnsi="Arial"/>
                <w:sz w:val="14"/>
                <w:szCs w:val="14"/>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sets forth the carrying value, amortized cost, and net unrealized gains (losses) of the Company’s investments aggregated by industry as of March 31,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March 31, 2014</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2013</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Amortized</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Gains</w:t>
            </w: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w:t>
            </w: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21,458</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subdivisions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7,222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telecom</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Financial services</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62,172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59,633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57,118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business – diversified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70,382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72,409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consumer – diversified</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45,740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41,829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7,509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229,932</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219,056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10,876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228,961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219,417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9,544</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tables present the Company’s unrealized loss aging for securities by type and length of time the security was in a continuous unrealized loss position as of March 31,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color w:val="auto"/>
              </w:rPr>
              <w:t>March 31, 2014</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2"/>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Redeemable preferred stocks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stocks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26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320"/>
              <w:spacing w:after="0"/>
              <w:rPr>
                <w:sz w:val="20"/>
                <w:szCs w:val="20"/>
                <w:color w:val="auto"/>
              </w:rPr>
            </w:pPr>
            <w:r>
              <w:rPr>
                <w:rFonts w:ascii="Arial" w:cs="Arial" w:eastAsia="Arial" w:hAnsi="Arial"/>
                <w:sz w:val="18"/>
                <w:szCs w:val="18"/>
                <w:color w:val="auto"/>
              </w:rPr>
              <w:t>Less than 12 months</w:t>
            </w:r>
          </w:p>
        </w:tc>
        <w:tc>
          <w:tcPr>
            <w:tcW w:w="240" w:type="dxa"/>
            <w:vAlign w:val="bottom"/>
          </w:tcPr>
          <w:p>
            <w:pPr>
              <w:spacing w:after="0"/>
              <w:rPr>
                <w:sz w:val="19"/>
                <w:szCs w:val="19"/>
                <w:color w:val="auto"/>
              </w:rPr>
            </w:pPr>
          </w:p>
        </w:tc>
        <w:tc>
          <w:tcPr>
            <w:tcW w:w="2460" w:type="dxa"/>
            <w:vAlign w:val="bottom"/>
            <w:gridSpan w:val="6"/>
          </w:tcPr>
          <w:p>
            <w:pPr>
              <w:ind w:left="280"/>
              <w:spacing w:after="0"/>
              <w:rPr>
                <w:sz w:val="20"/>
                <w:szCs w:val="20"/>
                <w:color w:val="auto"/>
              </w:rPr>
            </w:pPr>
            <w:r>
              <w:rPr>
                <w:rFonts w:ascii="Arial" w:cs="Arial" w:eastAsia="Arial" w:hAnsi="Arial"/>
                <w:sz w:val="18"/>
                <w:szCs w:val="18"/>
                <w:color w:val="auto"/>
              </w:rPr>
              <w:t>12 months or longer</w:t>
            </w:r>
          </w:p>
        </w:tc>
        <w:tc>
          <w:tcPr>
            <w:tcW w:w="24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520"/>
              <w:spacing w:after="0" w:line="201" w:lineRule="exact"/>
              <w:rPr>
                <w:sz w:val="20"/>
                <w:szCs w:val="20"/>
                <w:color w:val="auto"/>
              </w:rPr>
            </w:pPr>
            <w:r>
              <w:rPr>
                <w:rFonts w:ascii="Arial" w:cs="Arial" w:eastAsia="Arial" w:hAnsi="Arial"/>
                <w:sz w:val="18"/>
                <w:szCs w:val="18"/>
                <w:color w:val="auto"/>
              </w:rPr>
              <w:t>Fair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Losses</w:t>
            </w: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U.S. Government agencies and authorities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subdivisions</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Redeemable preferred stocks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and non-redeemable preferred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105,821</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112,759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evaluation for an other than temporary impairment is a quantitative and qualitative process, which is subject to risks and uncertainties in the determination of whether declines in the fair value of investments are other than temporary. Potential risks and uncertainties include, among other things, changes in general economic conditions, an issuer’s financial condition or near term recovery prospects and the effects of changes in interest rates. In evaluating a potential impairment, the Company considers, among other factors, management’s intent and ability to hold these securities until price recovery, the nature of the investment and the expectation of prospects for the issuer and its industry, the status of an issuer’s continued satisfaction of its obligations in accordance with their contractual terms, and management’s expectation as to the issuer’s ability and intent to continue to do so, as well as ratings actions that may affect the issuer’s credit status.</w:t>
      </w:r>
    </w:p>
    <w:p>
      <w:pPr>
        <w:spacing w:after="0" w:line="205"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As of March 31, 2014, securities in an unrealized loss position primarily included certain of the Company’s investments in fixed maturities within the other diversified business, other diversified consumer and financial services sectors. The Company does not currently intend to sell nor does it expect to be required to sell any of the securities in an unrealized loss position. Based upon the Company’s expected continuation of receipt of contractually required principal and interest payments and its intent and ability to retain the securities until price recovery, as well as the Company’s evaluation of other relevant factors, including those described above, the Company has deemed these securities to be temporarily impaired as of March 31, 2014.</w:t>
      </w:r>
    </w:p>
    <w:p>
      <w:pPr>
        <w:spacing w:after="0" w:line="185"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208" w:lineRule="exact"/>
        <w:rPr>
          <w:sz w:val="20"/>
          <w:szCs w:val="20"/>
          <w:color w:val="auto"/>
        </w:rPr>
      </w:pPr>
    </w:p>
    <w:p>
      <w:pPr>
        <w:jc w:val="both"/>
        <w:ind w:left="820" w:right="380" w:hanging="809"/>
        <w:spacing w:after="0" w:line="264" w:lineRule="auto"/>
        <w:tabs>
          <w:tab w:leader="none" w:pos="800" w:val="left"/>
        </w:tabs>
        <w:rPr>
          <w:sz w:val="20"/>
          <w:szCs w:val="20"/>
          <w:color w:val="auto"/>
        </w:rPr>
      </w:pPr>
      <w:r>
        <w:rPr>
          <w:rFonts w:ascii="Arial" w:cs="Arial" w:eastAsia="Arial" w:hAnsi="Arial"/>
          <w:sz w:val="18"/>
          <w:szCs w:val="18"/>
          <w:color w:val="auto"/>
        </w:rPr>
        <w:t>Level 1</w:t>
        <w:tab/>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208" w:lineRule="exact"/>
        <w:rPr>
          <w:sz w:val="20"/>
          <w:szCs w:val="20"/>
          <w:color w:val="auto"/>
        </w:rPr>
      </w:pPr>
    </w:p>
    <w:p>
      <w:pPr>
        <w:ind w:left="820" w:right="200" w:hanging="809"/>
        <w:spacing w:after="0" w:line="302" w:lineRule="auto"/>
        <w:tabs>
          <w:tab w:leader="none" w:pos="8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quoted prices included in Level 1, for an asset or liability or prices for similar assets or liabilities. The Company’s financial instruments valued using Level 2 criteria include substantially all of its fixed maturities, which consist of U.S. Treasury securities and U.S. Government securities, obligations of states and political subdivisions, and certain corporate fixed maturities, as well as its non-redeemable preferred stocks. In determining fair value measurements using Level 2 criteria, the Company utilizes various external pricing sources.</w:t>
      </w:r>
    </w:p>
    <w:p>
      <w:pPr>
        <w:spacing w:after="0" w:line="181" w:lineRule="exact"/>
        <w:rPr>
          <w:sz w:val="20"/>
          <w:szCs w:val="20"/>
          <w:color w:val="auto"/>
        </w:rPr>
      </w:pPr>
    </w:p>
    <w:p>
      <w:pPr>
        <w:ind w:left="820" w:right="60" w:hanging="809"/>
        <w:spacing w:after="0" w:line="257" w:lineRule="auto"/>
        <w:tabs>
          <w:tab w:leader="none" w:pos="800" w:val="left"/>
        </w:tabs>
        <w:rPr>
          <w:sz w:val="20"/>
          <w:szCs w:val="20"/>
          <w:color w:val="auto"/>
        </w:rPr>
      </w:pPr>
      <w:r>
        <w:rPr>
          <w:rFonts w:ascii="Arial" w:cs="Arial" w:eastAsia="Arial" w:hAnsi="Arial"/>
          <w:sz w:val="18"/>
          <w:szCs w:val="18"/>
          <w:color w:val="auto"/>
        </w:rPr>
        <w:t>Level 3</w:t>
        <w:tab/>
        <w:t>Valuations that are derived from techniques in which one or more of the significant inputs are unobservable (including assumptions about risk). Fair value is based on criteria that use assumptions or other data that are not readily observable from objective sources. The Company’s financial instruments valued using Level 3 criteria consist of a limited number of fixed maturities. As of March 31, 2014 and December 31, 2013, the value of the Company’s fixed maturities valued using Level 3 criteria was $2,056 and $1,991. The use of different criteria or assumptions regarding data may have yielded materially different valuations.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2014,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204,753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210,266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251,463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2013, financial instruments carried at fair value were measured on a recurring basis as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Markets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Assets</w:t>
            </w: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1)</w:t>
            </w: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2)</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48,024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204,796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254,811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is a roll-forward of the Company’s financial instruments measured at fair value on a recurring basis using significant unobservable inputs (Level 3) for the three month period ended March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Fixed</w:t>
            </w:r>
          </w:p>
        </w:tc>
      </w:tr>
      <w:tr>
        <w:trPr>
          <w:trHeight w:val="237"/>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Maturities</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Total unrealized gains included in other comprehensive income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The Company’s fixed maturities valued using Level 3 inputs consist solely of issuances of pooled debt obligations of multiple, smaller financial services companies. They are not actively traded and valuation techniques used to measure fair value are based on future estimated cash flows (based on current cash flows) discounted at reasonable estimated rates of interest. There are no assumed prepayments and/or default probability assumptions as a majority of these instruments contain certain U.S. government agency strips to support repayment of the principal. Other qualitative and quantitative information received from the original underwriter of the pooled offerings is also considered, as applicable.</w:t>
      </w:r>
    </w:p>
    <w:p>
      <w:pPr>
        <w:spacing w:after="0" w:line="141"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122" w:right="67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8.</w:t>
      </w:r>
      <w:r>
        <w:rPr>
          <w:sz w:val="20"/>
          <w:szCs w:val="20"/>
          <w:color w:val="auto"/>
        </w:rPr>
        <w:tab/>
      </w:r>
      <w:r>
        <w:rPr>
          <w:rFonts w:ascii="Arial" w:cs="Arial" w:eastAsia="Arial" w:hAnsi="Arial"/>
          <w:sz w:val="16"/>
          <w:szCs w:val="16"/>
          <w:color w:val="auto"/>
        </w:rPr>
        <w:t>Fair Values of Financial Instruments</w:t>
      </w:r>
    </w:p>
    <w:p>
      <w:pPr>
        <w:spacing w:after="0" w:line="256"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173"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The following table sets forth the carrying amount, estimated fair value and level within the fair value hierarchy of the Company’s financial instruments as of March 31, 2014 and December 31,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6"/>
          </w:tcPr>
          <w:p>
            <w:pPr>
              <w:ind w:left="500"/>
              <w:spacing w:after="0"/>
              <w:rPr>
                <w:sz w:val="20"/>
                <w:szCs w:val="20"/>
                <w:color w:val="auto"/>
              </w:rPr>
            </w:pPr>
            <w:r>
              <w:rPr>
                <w:rFonts w:ascii="Arial" w:cs="Arial" w:eastAsia="Arial" w:hAnsi="Arial"/>
                <w:sz w:val="18"/>
                <w:szCs w:val="18"/>
                <w:color w:val="auto"/>
              </w:rPr>
              <w:t>March 31, 2014</w:t>
            </w:r>
          </w:p>
        </w:tc>
        <w:tc>
          <w:tcPr>
            <w:tcW w:w="180" w:type="dxa"/>
            <w:vAlign w:val="bottom"/>
          </w:tcPr>
          <w:p>
            <w:pPr>
              <w:spacing w:after="0"/>
              <w:rPr>
                <w:sz w:val="20"/>
                <w:szCs w:val="20"/>
                <w:color w:val="auto"/>
              </w:rPr>
            </w:pPr>
          </w:p>
        </w:tc>
        <w:tc>
          <w:tcPr>
            <w:tcW w:w="2420" w:type="dxa"/>
            <w:vAlign w:val="bottom"/>
            <w:gridSpan w:val="6"/>
          </w:tcPr>
          <w:p>
            <w:pPr>
              <w:ind w:left="36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5"/>
              </w:rPr>
              <w:t>Level in Fair</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Estimated Fair</w:t>
            </w: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300" w:type="dxa"/>
            <w:vAlign w:val="bottom"/>
            <w:gridSpan w:val="2"/>
          </w:tcPr>
          <w:p>
            <w:pPr>
              <w:jc w:val="center"/>
              <w:ind w:right="120"/>
              <w:spacing w:after="0" w:line="240" w:lineRule="exact"/>
              <w:rPr>
                <w:sz w:val="20"/>
                <w:szCs w:val="20"/>
                <w:color w:val="auto"/>
              </w:rPr>
            </w:pPr>
            <w:r>
              <w:rPr>
                <w:rFonts w:ascii="Arial" w:cs="Arial" w:eastAsia="Arial" w:hAnsi="Arial"/>
                <w:sz w:val="17"/>
                <w:szCs w:val="17"/>
                <w:color w:val="auto"/>
                <w:w w:val="94"/>
              </w:rPr>
              <w:t xml:space="preserve">Hierarchy </w:t>
            </w:r>
            <w:r>
              <w:rPr>
                <w:rFonts w:ascii="Arial" w:cs="Arial" w:eastAsia="Arial" w:hAnsi="Arial"/>
                <w:sz w:val="27"/>
                <w:szCs w:val="27"/>
                <w:color w:val="auto"/>
                <w:w w:val="94"/>
                <w:vertAlign w:val="superscript"/>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6"/>
        </w:trPr>
        <w:tc>
          <w:tcPr>
            <w:tcW w:w="470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Fixed maturities</w:t>
            </w:r>
          </w:p>
        </w:tc>
        <w:tc>
          <w:tcPr>
            <w:tcW w:w="1160" w:type="dxa"/>
            <w:vAlign w:val="bottom"/>
          </w:tcPr>
          <w:p>
            <w:pPr>
              <w:ind w:left="1000"/>
              <w:spacing w:after="0"/>
              <w:rPr>
                <w:sz w:val="20"/>
                <w:szCs w:val="20"/>
                <w:color w:val="auto"/>
              </w:rPr>
            </w:pPr>
            <w:r>
              <w:rPr>
                <w:rFonts w:ascii="Arial" w:cs="Arial" w:eastAsia="Arial" w:hAnsi="Arial"/>
                <w:sz w:val="12"/>
                <w:szCs w:val="12"/>
                <w:color w:val="auto"/>
                <w:w w:val="95"/>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206,809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206,809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160" w:type="dxa"/>
            <w:vAlign w:val="bottom"/>
            <w:shd w:val="clear" w:color="auto" w:fill="CCEEFF"/>
          </w:tcPr>
          <w:p>
            <w:pPr>
              <w:ind w:left="1000"/>
              <w:spacing w:after="0"/>
              <w:rPr>
                <w:sz w:val="20"/>
                <w:szCs w:val="20"/>
                <w:color w:val="auto"/>
              </w:rPr>
            </w:pPr>
            <w:r>
              <w:rPr>
                <w:rFonts w:ascii="Arial" w:cs="Arial" w:eastAsia="Arial" w:hAnsi="Arial"/>
                <w:sz w:val="12"/>
                <w:szCs w:val="12"/>
                <w:color w:val="auto"/>
                <w:w w:val="95"/>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17,476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Other invested assets</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2,077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unconsolidated trusts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subordinated debentures</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41,238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See Note 7 for a description of the fair value hierarchy as well as a disclosure of levels for classes of these financial assets.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Note 9.</w:t>
      </w:r>
      <w:r>
        <w:rPr>
          <w:sz w:val="20"/>
          <w:szCs w:val="20"/>
          <w:color w:val="auto"/>
        </w:rPr>
        <w:tab/>
      </w:r>
      <w:r>
        <w:rPr>
          <w:rFonts w:ascii="Arial" w:cs="Arial" w:eastAsia="Arial" w:hAnsi="Arial"/>
          <w:sz w:val="16"/>
          <w:szCs w:val="16"/>
          <w:color w:val="auto"/>
        </w:rPr>
        <w:t>Accumulated Other Comprehensive Income</w:t>
      </w:r>
    </w:p>
    <w:p>
      <w:pPr>
        <w:spacing w:after="0" w:line="25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The following table sets forth the balance of each component of accumulated other comprehensive income as of March 31, 2014 and December 31, 2013, and the changes in the balance of each component thereof during the three month period ended March 31, 2014, net of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3"/>
          </w:tcPr>
          <w:p>
            <w:pPr>
              <w:jc w:val="center"/>
              <w:ind w:right="4780"/>
              <w:spacing w:after="0"/>
              <w:rPr>
                <w:sz w:val="20"/>
                <w:szCs w:val="20"/>
                <w:color w:val="auto"/>
              </w:rPr>
            </w:pPr>
            <w:r>
              <w:rPr>
                <w:rFonts w:ascii="Arial" w:cs="Arial" w:eastAsia="Arial" w:hAnsi="Arial"/>
                <w:sz w:val="18"/>
                <w:szCs w:val="18"/>
                <w:color w:val="auto"/>
                <w:w w:val="90"/>
              </w:rPr>
              <w:t>Unrealized</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3"/>
          </w:tcPr>
          <w:p>
            <w:pPr>
              <w:jc w:val="center"/>
              <w:ind w:right="4760"/>
              <w:spacing w:after="0"/>
              <w:rPr>
                <w:sz w:val="20"/>
                <w:szCs w:val="20"/>
                <w:color w:val="auto"/>
              </w:rPr>
            </w:pPr>
            <w:r>
              <w:rPr>
                <w:rFonts w:ascii="Arial" w:cs="Arial" w:eastAsia="Arial" w:hAnsi="Arial"/>
                <w:sz w:val="18"/>
                <w:szCs w:val="18"/>
                <w:color w:val="auto"/>
                <w:w w:val="88"/>
              </w:rPr>
              <w:t>Gains on</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3"/>
          </w:tcPr>
          <w:p>
            <w:pPr>
              <w:jc w:val="center"/>
              <w:ind w:right="4780"/>
              <w:spacing w:after="0"/>
              <w:rPr>
                <w:sz w:val="20"/>
                <w:szCs w:val="20"/>
                <w:color w:val="auto"/>
              </w:rPr>
            </w:pPr>
            <w:r>
              <w:rPr>
                <w:rFonts w:ascii="Arial" w:cs="Arial" w:eastAsia="Arial" w:hAnsi="Arial"/>
                <w:sz w:val="18"/>
                <w:szCs w:val="18"/>
                <w:color w:val="auto"/>
                <w:w w:val="96"/>
              </w:rPr>
              <w:t>Available-for-</w:t>
            </w: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40" w:type="dxa"/>
            <w:vAlign w:val="bottom"/>
            <w:gridSpan w:val="3"/>
          </w:tcPr>
          <w:p>
            <w:pPr>
              <w:jc w:val="center"/>
              <w:ind w:right="4780"/>
              <w:spacing w:after="0"/>
              <w:rPr>
                <w:sz w:val="20"/>
                <w:szCs w:val="20"/>
                <w:color w:val="auto"/>
              </w:rPr>
            </w:pPr>
            <w:r>
              <w:rPr>
                <w:rFonts w:ascii="Arial" w:cs="Arial" w:eastAsia="Arial" w:hAnsi="Arial"/>
                <w:sz w:val="18"/>
                <w:szCs w:val="18"/>
                <w:color w:val="auto"/>
                <w:w w:val="88"/>
              </w:rPr>
              <w:t>Sale Securities</w:t>
            </w: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45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current-period other comprehensive income</w:t>
            </w: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top w:val="single" w:sz="8" w:color="CCEEFF"/>
            </w:tcBorders>
          </w:tcPr>
          <w:p>
            <w:pPr>
              <w:spacing w:after="0"/>
              <w:rPr>
                <w:sz w:val="19"/>
                <w:szCs w:val="19"/>
                <w:color w:val="auto"/>
              </w:rPr>
            </w:pPr>
          </w:p>
        </w:tc>
        <w:tc>
          <w:tcPr>
            <w:tcW w:w="45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2014</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20" w:type="dxa"/>
            <w:vAlign w:val="bottom"/>
            <w:tcBorders>
              <w:bottom w:val="single" w:sz="8" w:color="CCEEFF"/>
            </w:tcBorders>
            <w:shd w:val="clear" w:color="auto" w:fill="CCEEFF"/>
          </w:tcPr>
          <w:p>
            <w:pPr>
              <w:spacing w:after="0"/>
              <w:rPr>
                <w:sz w:val="22"/>
                <w:szCs w:val="22"/>
                <w:color w:val="auto"/>
              </w:rPr>
            </w:pPr>
          </w:p>
        </w:tc>
        <w:tc>
          <w:tcPr>
            <w:tcW w:w="4560" w:type="dxa"/>
            <w:vAlign w:val="bottom"/>
          </w:tcPr>
          <w:p>
            <w:pPr>
              <w:spacing w:after="0"/>
              <w:rPr>
                <w:sz w:val="22"/>
                <w:szCs w:val="22"/>
                <w:color w:val="auto"/>
              </w:rPr>
            </w:pPr>
          </w:p>
        </w:tc>
      </w:tr>
      <w:tr>
        <w:trPr>
          <w:trHeight w:val="306"/>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ind w:right="812"/>
              <w:spacing w:after="0"/>
              <w:rPr>
                <w:sz w:val="20"/>
                <w:szCs w:val="20"/>
                <w:color w:val="auto"/>
              </w:rPr>
            </w:pPr>
            <w:r>
              <w:rPr>
                <w:rFonts w:ascii="Arial" w:cs="Arial" w:eastAsia="Arial" w:hAnsi="Arial"/>
                <w:sz w:val="14"/>
                <w:szCs w:val="14"/>
                <w:color w:val="auto"/>
                <w:w w:val="96"/>
              </w:rPr>
              <w:t>-16-</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3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following is management’s discussion and analysis of the financial condition and results of operations of Atlantic American Corporation (“Atlantic American” or the “Parent”) and its subsidiaries (collectively with the Parent, the “Company”) as of and for the three month period ended March 31, 2014. This discussion should be read in conjunction with the unaudited condensed consolidated financial statements and notes thereto included elsewhere herein, as well as with the audited consolidated financial statements and notes included in the Company’s Annual Report on Form 10-K for the year ended December 31, 2013.</w:t>
      </w:r>
    </w:p>
    <w:p>
      <w:pPr>
        <w:spacing w:after="0" w:line="215"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Atlantic American is an insurance holding company whose operations are conducted primarily through its insurance subsidiaries: American Southern Insurance Company and American Safety Insurance Company (together known as “American Southern”) and Bankers Fidelity Life Insurance Company and Bankers Fidelity Assurance Company (together known as “Bankers Fidelity”). Each operating company is managed separately, offers different products and is evaluated on its individual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that affect reported amounts and related disclosures. Actual results could differ significantly from those estimates. The Company has identified certain estimates that involve a higher degree of judgment and are subject to a significant degree of variability. The Company’s critical accounting policies and the resultant estimates considered most significant by management are disclosed in the Company’s Annual Report on Form 10-K for the year ended December 31, 2013. During the three month period ended March 31, 2014, there were no changes to the critical accounting policies or related estimates from those disclosed in the Company’s Annual Report on Form 10-K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Corporate Results</w:t>
      </w:r>
    </w:p>
    <w:p>
      <w:pPr>
        <w:spacing w:after="0" w:line="2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presents the Company’s revenue, expenses and net income for the three month period ended March 31, 2014 and the comparable period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6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2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Investment income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36,650</w:t>
            </w: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Insurance benefits and losses incurred</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23,362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underwriting expenses</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expense</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Total benefits and expenses</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40,167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35,639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60" w:type="dxa"/>
            <w:vAlign w:val="bottom"/>
            <w:vMerge w:val="restart"/>
          </w:tcPr>
          <w:p>
            <w:pPr>
              <w:jc w:val="right"/>
              <w:ind w:right="616"/>
              <w:spacing w:after="0"/>
              <w:rPr>
                <w:sz w:val="20"/>
                <w:szCs w:val="20"/>
                <w:color w:val="auto"/>
              </w:rPr>
            </w:pPr>
            <w:r>
              <w:rPr>
                <w:rFonts w:ascii="Arial" w:cs="Arial" w:eastAsia="Arial" w:hAnsi="Arial"/>
                <w:sz w:val="14"/>
                <w:szCs w:val="14"/>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Management also considers and evaluates performance by analyzing the non-GAAP measure operating income and believes it is a useful metric for investors, potential investors, securities analysts and others because it isolates the “core”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investment gains, which are not a part of the Company’s primary operations and are, to an extent, subject to discretion in terms of timing of realization).</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net income to operating income for the three month period ended March 31, 2014 and the comparable period in 2013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Reconciliation of Net Income to non-GAAP Measurement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Realized investment gains,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On a consolidated basis, the Company had net income of $0.8 million, or $0.03 per diluted share, for the three month period ended March 31, 2014, compared to net income of $0.9 million, or $0.04 per diluted share, for the three month period ended March 31, 2013. The decrease in net income during the three month period ended March 31, 2014 was primarily attributable to decreases in investment income and realized investment gains. Premium revenue for the three month period ended March 31, 2014 increased $5.4 million, or 16.4%, to $38.4 million. The increase in premium revenue was primarily due to an increase in commercial automobile earned premiums in the property and casualty operations resulting from a significant state contract which incepted in the second quarter of 2013. Operating income increased to $0.9 million in the three month period ended March 31, 2014 from $0.3 million in the comparable period of 2013. The increase in operating income was primarily attributable to an increase in premium revenue as well as more favorable loss experience in the life and health operations. Partially offsetting the increase in operating income was a decrease in investment income as the Company had previously sold several higher yielding, longer-term investments during 2013 in an attempt to shorten the average maturity of the portfolio.</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more detailed analysis of the individual operating companies and other corporate activities is provided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Southern</w:t>
      </w:r>
    </w:p>
    <w:p>
      <w:pPr>
        <w:spacing w:after="0" w:line="2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summarizes American Southern’s premiums, losses, expenses and underwriting ratios for the three month period ended March 31, 2014 and the comparable period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w w:val="72"/>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written premiums</w:t>
            </w:r>
          </w:p>
        </w:tc>
        <w:tc>
          <w:tcPr>
            <w:tcW w:w="2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Ceded premiums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(1,705)</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(1,897)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written premiums</w:t>
            </w:r>
          </w:p>
        </w:tc>
        <w:tc>
          <w:tcPr>
            <w:tcW w:w="2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0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earned premiums</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13,026</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8,927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 and loss adjustment expenses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Underwriting expenses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3,726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Underwriting loss</w:t>
            </w:r>
          </w:p>
        </w:tc>
        <w:tc>
          <w:tcPr>
            <w:tcW w:w="2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ratio</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77.5%</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Expense ratio</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Arial" w:cs="Arial" w:eastAsia="Arial" w:hAnsi="Arial"/>
                <w:sz w:val="18"/>
                <w:szCs w:val="18"/>
                <w:color w:val="auto"/>
              </w:rPr>
              <w:t>Combined ratio</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100.9%</w:t>
            </w: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20" w:type="dxa"/>
            <w:vAlign w:val="bottom"/>
            <w:vMerge w:val="restart"/>
          </w:tcPr>
          <w:p>
            <w:pPr>
              <w:jc w:val="right"/>
              <w:ind w:right="476"/>
              <w:spacing w:after="0"/>
              <w:rPr>
                <w:sz w:val="20"/>
                <w:szCs w:val="20"/>
                <w:color w:val="auto"/>
              </w:rPr>
            </w:pPr>
            <w:r>
              <w:rPr>
                <w:rFonts w:ascii="Arial" w:cs="Arial" w:eastAsia="Arial" w:hAnsi="Arial"/>
                <w:sz w:val="14"/>
                <w:szCs w:val="14"/>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Gross written premiums at American Southern decreased $1.5 million, or 16.8%, during the three month period ended March 31, 2014 from the comparable period in 2013. The decrease in gross written premiums was primarily attributable to a decrease of $2.1 million in commercial automobile written premiums resulting from the cancellation by the company of an agency due to unfavorable loss experience. Partially offsetting the decrease in gross written premiums was an increase of $0.3 million in commercial automobile business from a new program.</w:t>
      </w:r>
    </w:p>
    <w:p>
      <w:pPr>
        <w:spacing w:after="0" w:line="198"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Ceded premiums decreased $0.2 million, or 10.1%, during the three month period ended March 31, 2014 from the comparable period in 2013. American Southern’s ceded premiums are determined as a percentage of earned premiums and generally will increase or decrease as earned premiums increase or decrease. However, the change in ceded premiums during the three month period ended March 31, 2014 was disproportionate to the increase in earned premiums due to a reinsurance agreement incepted solely to reinsure the commercial automobile business resulting from the specific state contract awarded to American Southern in the second quarter of 2013. The decrease in ceded premiums for the three month period ended March 31, 2014 was primarily attributable to the decline in commercial automobile earned premiums resulting from the agency cancellation discussed previously. Commercial automobile business generally has higher contractual reinsurance cession rates than other lines of business.</w:t>
      </w:r>
    </w:p>
    <w:p>
      <w:pPr>
        <w:spacing w:after="0" w:line="194"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following presents American Southern’s net earned premiums by line of business for the three month period ended March 31, 2014 and the comparable period in 2013: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37"/>
        </w:trPr>
        <w:tc>
          <w:tcPr>
            <w:tcW w:w="4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19"/>
                <w:szCs w:val="19"/>
                <w:color w:val="auto"/>
              </w:rPr>
            </w:pPr>
          </w:p>
        </w:tc>
      </w:tr>
      <w:tr>
        <w:trPr>
          <w:trHeight w:val="216"/>
        </w:trPr>
        <w:tc>
          <w:tcPr>
            <w:tcW w:w="4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Commercial automobile</w:t>
            </w:r>
          </w:p>
        </w:tc>
        <w:tc>
          <w:tcPr>
            <w:tcW w:w="26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General liability</w:t>
            </w: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Surety</w:t>
            </w: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1,716</w:t>
            </w:r>
          </w:p>
        </w:tc>
      </w:tr>
      <w:tr>
        <w:trPr>
          <w:trHeight w:val="257"/>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Net earned premiums increased $4.1 million, or 45.9%, during the three month period ended March 31, 2014 over the comparable period in 2013. The increase in net earned premiums was primarily attributable to the increase in commercial automobile earned premiums from the significant state contract referenced above. Also contributing were increases in general liability and property earned premiums resulting from new programs to the company which incepted in 2013. Premiums are earned ratably over their respective policy terms, and therefore premiums earned in the current year are related to policies written during both the current year and immediately preceding year.</w:t>
      </w:r>
    </w:p>
    <w:p>
      <w:pPr>
        <w:spacing w:after="0" w:line="21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Net loss and loss adjustment expenses at American Southern increased $4.8 million, or 89.7%, during the three month period ended March 31, 2014 over the comparable period in 2013. As a percentage of premiums, net loss and loss adjustment expenses were 77.5% in the three month period ended March 31, 2014, compared to 59.6% in the three month period ended March 31, 2013. The increase in the loss ratio was primarily due to increased losses in the commercial automobile line of business resulting from the state contract awarded to American Southern in the second quarter of 2013, referenced previously. Also contributing to the increase in the loss ratio were higher claims in the general liability and surety lines of business.</w:t>
      </w:r>
    </w:p>
    <w:p>
      <w:pPr>
        <w:spacing w:after="0" w:line="20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Underwriting expenses decreased $0.7 million, or 18.2%, during the three month period ended March 31, 2014 from the comparable period in 2013. As a percentage of premiums, underwriting expenses were 23.4% in the three month period ended March 31, 2014, compared to 41.8% in the three month period ended March 31, 2013. The decrease in the expense ratio was primarily due to American Southern’s variable commission structure, which compensates the company’s agents in relation to the loss ratios of the business they write. During periods in which the loss ratio increases, commissions and underwriting expenses will generally decrease, and conversely, during periods in which the loss ratio decreases, commissions and underwriting expenses will generally increase. During the three month period ended March 31, 2014, these commissions at American Southern decreased $0.8 million from the comparable period in 2013 due to unfavorable loss experience. Also contributing to the decrease in the expense ratio was the significant increase in earned premiums coupled with a relatively consistent level of fixed general and administrative expenses.</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Bankers Fidelity</w:t>
      </w:r>
    </w:p>
    <w:p>
      <w:pPr>
        <w:spacing w:after="0" w:line="25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summarizes Bankers Fidelity’s earned premiums, losses, expenses and underwriting ratios for the three month period ended March 31, 2014 and the comparable period in 2013:</w:t>
      </w:r>
    </w:p>
    <w:p>
      <w:pPr>
        <w:spacing w:after="0" w:line="197"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5715</wp:posOffset>
            </wp:positionV>
            <wp:extent cx="16122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37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Medicare supplement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health products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Total earned premiums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Insurance benefits and losses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Underwriting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24,901</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Underwriting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ratio</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Expense ratio</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Combined ratio</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Premium revenue at Bankers Fidelity increased $1.3 million, or 5.4%, during the three month period ended March 31, 2014 over the comparable period in 2013. Premiums from the Medicare supplement line of business increased $1.3 million, or 6.6%, during the three month period ended March 31, 2014, due primarily to the implementation of rate increases on renewal business. Other health product premiums increased slightly during the same comparable period, primarily as a result of new sales of the company’s short-term care products. Premiums from the life insurance line of business decreased $0.1 million, or</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2.7%, during the three month period ended March 31, 2014 due to the redemption and settlement of existing policy obligations exceeding the level of new sales activity.</w:t>
      </w:r>
    </w:p>
    <w:p>
      <w:pPr>
        <w:spacing w:after="0" w:line="21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Benefits and losses decreased $1.3 million, or 7.3%, during the three month period ended March 31, 2014 from the comparable period in 2013. As a percentage of premiums, benefits and losses were 65.9% in the three month period ended March 31, 2014, compared to 74.9% in the three month period ended March 31, 2013. The decrease in the loss ratio was primarily attributable to more favorable loss experience in the Medicare supplement line of business due to a number of factors including the implementation of rate increases as well as reduced medical utilization by policyholders resulting from worse than normal winter weather. During the three month period ended March 31, 2013, Bankers Fidelity experienced an increase in losses in the Medicare supplement line of business resulting from a disproportionate number of first quarter deductible reimbursements which did not recur to the same extent in the comparable period of 2014. As the company’s Medicare supplement product generally reimburses the annual Part B deductible to an insured, annual deductible reimbursements are generally incurred disproportionately at the beginning of a calendar year. Such trend was more pronounced in the first quarter of 2013 as compared to the first quarter of 2014.</w:t>
      </w:r>
    </w:p>
    <w:p>
      <w:pPr>
        <w:spacing w:after="0" w:line="20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Underwriting expenses increased $1.6 million, or 23.3%, during the three month period ended March 31, 2014 over the comparable period in 2013. As a percentage of premiums, underwriting expenses were 33.3% in the three month period ended March 31, 2014, compared to 28.5% in the three month period ended March 31, 2013. The increase in the expense ratio was primarily attributable to increases in agency related expenses, increased compensation accruals as well as expenses related to the continued development of worksite products.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INCOME AND REALIZED GAINS</w:t>
      </w:r>
    </w:p>
    <w:p>
      <w:pPr>
        <w:spacing w:after="0" w:line="256" w:lineRule="exact"/>
        <w:rPr>
          <w:sz w:val="20"/>
          <w:szCs w:val="20"/>
          <w:color w:val="auto"/>
        </w:rPr>
      </w:pPr>
    </w:p>
    <w:p>
      <w:pPr>
        <w:ind w:right="160" w:firstLine="486"/>
        <w:spacing w:after="0" w:line="312" w:lineRule="auto"/>
        <w:rPr>
          <w:sz w:val="20"/>
          <w:szCs w:val="20"/>
          <w:color w:val="auto"/>
        </w:rPr>
      </w:pPr>
      <w:r>
        <w:rPr>
          <w:rFonts w:ascii="Arial" w:cs="Arial" w:eastAsia="Arial" w:hAnsi="Arial"/>
          <w:sz w:val="16"/>
          <w:szCs w:val="16"/>
          <w:color w:val="auto"/>
        </w:rPr>
        <w:t>Investment income decreased $0.3 million, or 10.6%, during the three month period ended March 31, 2014 from the comparable period in 2013. The decrease in investment income was primarily attributable to sales during 2013 of a number of the Company’s higher yielding, longer-term fixed maturities due to management’s decision to shorten the average maturity in the portfolio in recognition of the potential future increases in longer-term interest rates.</w:t>
      </w:r>
    </w:p>
    <w:p>
      <w:pPr>
        <w:spacing w:after="0" w:line="174"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Company had net realized investment gains of $0.1 million during the three month period ended March 31, 2014, compared to net realized investment gains of $0.7 million in the three month period ended March 31, 2013. The net realized investment gains in the three month periods ended March 31, 2014 and 2013 resulted from the disposition of several of the Company’s investments in fixed maturities. Management continually evaluates the Company’s investment portfolio and, as may be determined to be appropriate, makes adjustments for impairments and/or will divest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Interest expense decreased $0.1 million, or 25.6%, during the three month period ended March 31, 2014 from the comparable period in 2013 due primarily to the termination of the Company’s zero cost interest rate collar with Wells Fargo Bank, National Association (“Wells Fargo”) on March 4, 2013, the stated maturity date, by its terms. The interest rate collar had a London Interbank Offered Rate (“LIBOR”) floor of 4.77%. As a result of interest rates remaining below the LIBOR floor, the Company was required to make payments to Wells Fargo under the interest rate collar through the maturity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EXPENSES</w:t>
      </w:r>
    </w:p>
    <w:p>
      <w:pPr>
        <w:spacing w:after="0" w:line="25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Other expenses (commissions, underwriting expenses, and other expenses) increased $1.2 million, or 10.3%, during the three month period ended March 31, 2014 over the comparable period in 2013. The increase in other expenses was primarily attributable to increases in agency related expenses, expenses related to continued development of worksite products as well as amortization of deferred acquisition costs exceeding deferrals due to lower levels of new business. Further, during the three month period ended March 31, 2014, there were increased incentive compensation accruals of $0.6 million related to the Company’s improved operating performance as compared to the same period in 2013, as well as amortization of unearned compensation from stock awards in the past twelve month period. Partially offsetting the increase in other expenses was the decrease in commission accruals at American Southern due to recent loss experience. During the three month period ended March 31, 2014, these commissions at American Southern decreased $0.8 million from the comparable period in 2013. The majority of American Southern’s business is structured in a way that agents are compensated based upon the loss ratios of the business they place with the company. During periods in which the loss ratio increases, commissions and underwriting expenses will generally decrease, and conversely, during periods in which the loss ratio decreases, commissions and underwriting expenses will generally increase. On a consolidated basis, as a percentage of earned premiums, other expenses decreased to 33.6% in the three month period ended March 31, 2014 from 35.4% in the three month period ended March 31, 2013. The decrease in the expense ratio was primarily attributable to a reduction in commission accruals discussed previously.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5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period ended March 31, 2014 resulted from the dividends-received deduction (“DRD”), the small life insurance company deduction (“SLD”) and the change in deferred tax asset valuation allowance. The current estimated DRD is adjusted as underlying factors change and can vary from estimates based on, but not limited to, actual distributions from investments as well as the amount of the Company’s taxable income. The SLD varies in amount and is determined at a rate of 60 percent of the tentative life insurance company taxable income (“LICTI”). The SLD for any taxable year is reduced (but not below zero) by 15 percent of the tentative LICTI for such taxable year as it exceeds $3.0 million and is ultimately phased out at $15.0 million. The change in deferred tax asset valuation allowance was due to the unanticipated utilization of certain capital loss carryforward benefits that had been previously reduced to zero through an existing valuation allowance reserve.</w:t>
      </w:r>
    </w:p>
    <w:p>
      <w:pPr>
        <w:spacing w:after="0" w:line="219"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The primary differences between the effective tax rate and the federal statutory income tax rate for the three month period ended March 31, 2013 resulted from the DRD and the change in deferred tax asset valuation allowance. The change in deferred tax asset valuation allowance was also due to the utilization of certain capital loss carryforward benefits.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expenses as needed.</w:t>
      </w:r>
    </w:p>
    <w:p>
      <w:pPr>
        <w:spacing w:after="0" w:line="22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Cash flows at the Parent are derived from dividends, management fees, and tax-sharing payments, as described below, from the subsidiaries. The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March 31, 2014, the Parent had approximately $26.2 million of unrestricted cash and investments.</w:t>
      </w:r>
    </w:p>
    <w:p>
      <w:pPr>
        <w:spacing w:after="0" w:line="214"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The Parent’s insurance subsidiaries reported statutory net income of $2.7 million for the three month period ended March 31, 2014 compared to statutory net income of $2.0 million for the three month period ended March 31, 2013. Statutory results are impacted by the recognition of all costs of acquiring business. In periods in which the Company’s first year premiums increase, statutory results are generally lower than results determined under GAAP. Statutory results for the Company’s property and casualty operations may differ from the Company’s results of operations under GAAP due to the deferral of acquisition costs for financial reporting purposes. The Company’s life and health operations’ statutory results may differ from GAAP results primarily due to the deferral of acquisition costs for financial reporting purposes, as well as the use of different reserving methods.</w:t>
      </w:r>
    </w:p>
    <w:p>
      <w:pPr>
        <w:spacing w:after="0" w:line="19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Over 90% of the invested assets of the Parent’s insurance subsidiaries are invested in marketable securities that can be converted into cash, if required; however, the use of such assets by the Company is limited by state insurance regulations. Dividend payments to a parent corporation by its wholly owned insurance subsidiaries are subject to annual limitations and are restricted to 10% of statutory surplus or statutory earnings before recognizing realized investment gains of the individual insurance subsidiaries. At March 31, 2014, American Southern had $39.1 million of statutory surplus and Bankers Fidelity had $34.9 million of statutory surplus. In 2014, dividend payments by the Parent’s insurance subsidiaries in excess of $7.1 million would require prior approval.</w:t>
      </w:r>
    </w:p>
    <w:p>
      <w:pPr>
        <w:spacing w:after="0" w:line="22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Parent provides certain administrative and other services to each of its insurance subsidiaries. The amounts charged to and paid by the subsidiaries include reimbursements for various shared services and other expenses incurred directly on behalf of the subsidiaries by the Parent. In addition, there is in place a formal tax-sharing agreement between the Parent and its insurance subsidiaries. It is anticipated that this agreement will provide the Parent with additional funds from profitable subsidiaries due to the subsidiaries' use of the Parent’s tax loss carryforwards, which totaled approximately $3.2 million at March 31, 2014.</w:t>
      </w:r>
    </w:p>
    <w:p>
      <w:pPr>
        <w:spacing w:after="0" w:line="21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deferrable interest debentures (“Junior Subordinated Debentures”). The outstanding $18.0 million and $23.2 million of Junior Subordinated Debentures mature on December 4, 2032 and May 15, 2033, respectively, are callable quarterly, in whole or in part, only at the option of the Company, and have an interest rate of three-month LIBOR plus an applicable margin. The margin ranges from 4.00% to 4.10%. At March 31, 2014, the effective interest rate was 4.3%.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The Company has not made such an election.</w:t>
      </w:r>
    </w:p>
    <w:p>
      <w:pPr>
        <w:spacing w:after="0" w:line="2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Company intends to pay its obligations under the Junior Subordinated Debentures using existing cash balances, dividend and tax-sharing payments from the operating subsidiaries, or from potential future financing arrangements.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At March 31, 2014, the Company had 65,000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1,629,000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At March 31, 2014, the Company had accrued but unpaid dividends on the Series D Preferred Stock totaling $0.1 million.</w:t>
      </w:r>
    </w:p>
    <w:p>
      <w:pPr>
        <w:spacing w:after="0" w:line="206"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Cash and cash equivalents decreased from $33.1 million at December 31, 2013 to $27.2 million at March 31, 2014. The decrease in cash and cash equivalents during the three month period ended March 31, 2014 was primarily attributable to net cash used in operating activities of $4.3 million, additions to property and equipment of $1.7 million and the purchase of shares for treasury for $0.3 million. Partially offsetting the decrease in cash and cash equivalents was a $0.4 million increase resulting from the sale and maturity of securities exceeding investment purchases.</w:t>
      </w:r>
    </w:p>
    <w:p>
      <w:pPr>
        <w:spacing w:after="0" w:line="19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believes that existing cash balances as well as the dividends, fees, and tax-sharing payments it receives from its subsidiaries and, if needed, additional borrowings from financial institutions,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252"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of 1934 (the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may not be detected. An evaluation was performed under the supervision and with the participation of our management, including the Chief Executive Officer and Chief Financial Officer, of the effectiveness of the design and operation of our disclosure controls and procedures (as defined in Rules 13a-15(e) and 15d-15(e) of the Exchange Act). Based on that evaluation, our management, including the Chief Executive Officer and Chief Financial Officer, concluded that our disclosure controls and procedures were effective as of the end of the period covered by this report.</w:t>
      </w:r>
    </w:p>
    <w:p>
      <w:pPr>
        <w:spacing w:after="0" w:line="22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report that have 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i w:val="1"/>
          <w:iCs w:val="1"/>
          <w:color w:val="auto"/>
        </w:rPr>
        <w:t>This report contains and references certain information that constitutes forward-looking statements as that term is defined in the federal securities laws. Those statements, to the extent they are not historical facts, should be considered forward-looking statements, and are subject to various risks and uncertainties. Such forward-looking statements are made based upon management’s current assessments of various risks and uncertainties, as well as assumptions made in accordance with the “safe harbor” provisions of the federal securities laws. The Company’s actual results could differ materially from the results anticipated in these forward-looking statements as a result of such risks and uncertainties, including those identified in the Company’s Annual Report on Form 10-K for the fiscal year ended December 31, 2013, subsequent quarterly reports on Form 10-Q and the other filings made by the Company from time to time with the Securities and Exchange Commission. The Company undertakes no obligation to update any forward-looking statement as a result of subsequent developments, changes in underlying assumptions or facts, or otherwise.</w:t>
      </w:r>
    </w:p>
    <w:p>
      <w:pPr>
        <w:spacing w:after="0" w:line="20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52"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On October 30, 2012,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spacing w:after="0" w:line="193"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Other than pursuant to the Repurchase Plan, no purchases of common stock of the Company were made by or on behalf of the Company during the periods described below.</w:t>
      </w:r>
    </w:p>
    <w:p>
      <w:pPr>
        <w:spacing w:after="0" w:line="19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table below sets forth information regarding repurchases by the Company of shares of its common stock on a monthly basis during the three month period ended March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 as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Part of Publicly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Announced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Under the</w:t>
            </w:r>
          </w:p>
        </w:tc>
        <w:tc>
          <w:tcPr>
            <w:tcW w:w="0" w:type="dxa"/>
            <w:vAlign w:val="bottom"/>
          </w:tcPr>
          <w:p>
            <w:pPr>
              <w:spacing w:after="0"/>
              <w:rPr>
                <w:sz w:val="1"/>
                <w:szCs w:val="1"/>
                <w:color w:val="auto"/>
              </w:rPr>
            </w:pPr>
          </w:p>
        </w:tc>
      </w:tr>
      <w:tr>
        <w:trPr>
          <w:trHeight w:val="216"/>
        </w:trPr>
        <w:tc>
          <w:tcPr>
            <w:tcW w:w="3940" w:type="dxa"/>
            <w:vAlign w:val="bottom"/>
            <w:vMerge w:val="restart"/>
          </w:tcPr>
          <w:p>
            <w:pPr>
              <w:spacing w:after="0"/>
              <w:rPr>
                <w:sz w:val="20"/>
                <w:szCs w:val="20"/>
                <w:color w:val="auto"/>
              </w:rPr>
            </w:pPr>
            <w:r>
              <w:rPr>
                <w:rFonts w:ascii="Arial" w:cs="Arial" w:eastAsia="Arial" w:hAnsi="Arial"/>
                <w:sz w:val="18"/>
                <w:szCs w:val="18"/>
                <w:color w:val="auto"/>
              </w:rPr>
              <w:t>Period</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Price Paid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Plans or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7"/>
        </w:trPr>
        <w:tc>
          <w:tcPr>
            <w:tcW w:w="3940" w:type="dxa"/>
            <w:vAlign w:val="bottom"/>
            <w:vMerge w:val="continue"/>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per Share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Programs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Programs</w:t>
            </w:r>
          </w:p>
        </w:tc>
        <w:tc>
          <w:tcPr>
            <w:tcW w:w="0" w:type="dxa"/>
            <w:vAlign w:val="bottom"/>
          </w:tcPr>
          <w:p>
            <w:pPr>
              <w:spacing w:after="0"/>
              <w:rPr>
                <w:sz w:val="1"/>
                <w:szCs w:val="1"/>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 January 31, 2014</w:t>
            </w:r>
          </w:p>
        </w:tc>
        <w:tc>
          <w:tcPr>
            <w:tcW w:w="2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45,461</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February 1 – February 28, 2014</w:t>
            </w:r>
          </w:p>
        </w:tc>
        <w:tc>
          <w:tcPr>
            <w:tcW w:w="3420" w:type="dxa"/>
            <w:vAlign w:val="bottom"/>
            <w:gridSpan w:val="4"/>
          </w:tcPr>
          <w:p>
            <w:pPr>
              <w:jc w:val="right"/>
              <w:ind w:right="120"/>
              <w:spacing w:after="0"/>
              <w:rPr>
                <w:sz w:val="20"/>
                <w:szCs w:val="20"/>
                <w:color w:val="auto"/>
              </w:rPr>
            </w:pPr>
            <w:r>
              <w:rPr>
                <w:rFonts w:ascii="Arial" w:cs="Arial" w:eastAsia="Arial" w:hAnsi="Arial"/>
                <w:sz w:val="18"/>
                <w:szCs w:val="18"/>
                <w:color w:val="auto"/>
              </w:rPr>
              <w:t>24,666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302,758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2014</w:t>
            </w:r>
          </w:p>
        </w:tc>
        <w:tc>
          <w:tcPr>
            <w:tcW w:w="21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295,338</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214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77,547</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77,547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2020" w:type="dxa"/>
            <w:vAlign w:val="bottom"/>
            <w:vMerge w:val="restart"/>
          </w:tcPr>
          <w:p>
            <w:pPr>
              <w:jc w:val="right"/>
              <w:ind w:right="3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9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Certifications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20" w:type="dxa"/>
            <w:vAlign w:val="bottom"/>
          </w:tcPr>
          <w:p>
            <w:pPr>
              <w:ind w:left="48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5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7300" w:type="dxa"/>
            <w:vAlign w:val="bottom"/>
            <w:gridSpan w:val="4"/>
          </w:tcPr>
          <w:p>
            <w:pPr>
              <w:jc w:val="center"/>
              <w:ind w:right="4120"/>
              <w:spacing w:after="0"/>
              <w:rPr>
                <w:sz w:val="20"/>
                <w:szCs w:val="20"/>
                <w:color w:val="auto"/>
              </w:rPr>
            </w:pPr>
            <w:r>
              <w:rPr>
                <w:rFonts w:ascii="Arial" w:cs="Arial" w:eastAsia="Arial" w:hAnsi="Arial"/>
                <w:sz w:val="18"/>
                <w:szCs w:val="18"/>
                <w:color w:val="auto"/>
                <w:w w:val="97"/>
              </w:rPr>
              <w:t>ATLANTIC AMERICAN CORPORATION</w:t>
            </w:r>
          </w:p>
        </w:tc>
      </w:tr>
      <w:tr>
        <w:trPr>
          <w:trHeight w:val="237"/>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1"/>
              </w:rPr>
              <w:t>(Registrant)</w:t>
            </w:r>
          </w:p>
        </w:tc>
        <w:tc>
          <w:tcPr>
            <w:tcW w:w="4120" w:type="dxa"/>
            <w:vAlign w:val="bottom"/>
          </w:tcPr>
          <w:p>
            <w:pPr>
              <w:spacing w:after="0"/>
              <w:rPr>
                <w:sz w:val="20"/>
                <w:szCs w:val="20"/>
                <w:color w:val="auto"/>
              </w:rPr>
            </w:pPr>
          </w:p>
        </w:tc>
      </w:tr>
      <w:tr>
        <w:trPr>
          <w:trHeight w:val="608"/>
        </w:trPr>
        <w:tc>
          <w:tcPr>
            <w:tcW w:w="4120" w:type="dxa"/>
            <w:vAlign w:val="bottom"/>
            <w:gridSpan w:val="3"/>
          </w:tcPr>
          <w:p>
            <w:pPr>
              <w:spacing w:after="0"/>
              <w:rPr>
                <w:sz w:val="20"/>
                <w:szCs w:val="20"/>
                <w:color w:val="auto"/>
              </w:rPr>
            </w:pPr>
            <w:r>
              <w:rPr>
                <w:rFonts w:ascii="Arial" w:cs="Arial" w:eastAsia="Arial" w:hAnsi="Arial"/>
                <w:sz w:val="18"/>
                <w:szCs w:val="18"/>
                <w:color w:val="auto"/>
              </w:rPr>
              <w:t>Date: May 13, 2014</w:t>
            </w:r>
          </w:p>
        </w:tc>
        <w:tc>
          <w:tcPr>
            <w:tcW w:w="7300" w:type="dxa"/>
            <w:vAlign w:val="bottom"/>
            <w:gridSpan w:val="4"/>
          </w:tcPr>
          <w:p>
            <w:pPr>
              <w:ind w:left="460"/>
              <w:spacing w:after="0"/>
              <w:rPr>
                <w:sz w:val="20"/>
                <w:szCs w:val="20"/>
                <w:color w:val="auto"/>
              </w:rPr>
            </w:pPr>
            <w:r>
              <w:rPr>
                <w:rFonts w:ascii="Arial" w:cs="Arial" w:eastAsia="Arial" w:hAnsi="Arial"/>
                <w:sz w:val="18"/>
                <w:szCs w:val="18"/>
                <w:color w:val="auto"/>
              </w:rPr>
              <w:t>By:    /s/ John G. Sample, Jr.</w:t>
            </w:r>
          </w:p>
        </w:tc>
      </w:tr>
      <w:tr>
        <w:trPr>
          <w:trHeight w:val="222"/>
        </w:trPr>
        <w:tc>
          <w:tcPr>
            <w:tcW w:w="4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John G. Sample, Jr.</w:t>
            </w:r>
          </w:p>
        </w:tc>
        <w:tc>
          <w:tcPr>
            <w:tcW w:w="466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5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40" w:type="dxa"/>
            <w:vAlign w:val="bottom"/>
            <w:gridSpan w:val="2"/>
          </w:tcPr>
          <w:p>
            <w:pPr>
              <w:jc w:val="center"/>
              <w:ind w:left="476"/>
              <w:spacing w:after="0"/>
              <w:rPr>
                <w:sz w:val="20"/>
                <w:szCs w:val="20"/>
                <w:color w:val="auto"/>
              </w:rPr>
            </w:pPr>
            <w:r>
              <w:rPr>
                <w:rFonts w:ascii="Arial" w:cs="Arial" w:eastAsia="Arial" w:hAnsi="Arial"/>
                <w:sz w:val="14"/>
                <w:szCs w:val="14"/>
                <w:color w:val="auto"/>
                <w:w w:val="96"/>
              </w:rPr>
              <w:t>-26-</w:t>
            </w:r>
          </w:p>
        </w:tc>
        <w:tc>
          <w:tcPr>
            <w:tcW w:w="5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46"/>
        </w:trPr>
        <w:tc>
          <w:tcPr>
            <w:tcW w:w="4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Number</w:t>
            </w:r>
          </w:p>
        </w:tc>
        <w:tc>
          <w:tcPr>
            <w:tcW w:w="560" w:type="dxa"/>
            <w:vAlign w:val="bottom"/>
          </w:tcPr>
          <w:p>
            <w:pPr>
              <w:spacing w:after="0"/>
              <w:rPr>
                <w:sz w:val="16"/>
                <w:szCs w:val="16"/>
                <w:color w:val="auto"/>
              </w:rPr>
            </w:pPr>
          </w:p>
        </w:tc>
        <w:tc>
          <w:tcPr>
            <w:tcW w:w="9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2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2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2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Certifications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5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Hilton H. Howell, Jr., certify that:</w:t>
      </w:r>
    </w:p>
    <w:p>
      <w:pPr>
        <w:spacing w:after="0" w:line="252"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120" w:hanging="326"/>
        <w:spacing w:after="0" w:line="26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60" w:right="6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60" w:right="220" w:hanging="318"/>
        <w:spacing w:after="0" w:line="342"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60" w:right="260" w:hanging="31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460" w:right="520" w:hanging="318"/>
        <w:spacing w:after="0" w:line="342" w:lineRule="auto"/>
        <w:tabs>
          <w:tab w:leader="none" w:pos="146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60" w:right="200" w:hanging="318"/>
        <w:spacing w:after="0" w:line="277"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0"/>
        <w:spacing w:after="0"/>
        <w:tabs>
          <w:tab w:leader="none" w:pos="6860" w:val="left"/>
        </w:tabs>
        <w:rPr>
          <w:sz w:val="20"/>
          <w:szCs w:val="20"/>
          <w:color w:val="auto"/>
        </w:rPr>
      </w:pPr>
      <w:r>
        <w:rPr>
          <w:rFonts w:ascii="Arial" w:cs="Arial" w:eastAsia="Arial" w:hAnsi="Arial"/>
          <w:sz w:val="18"/>
          <w:szCs w:val="18"/>
          <w:color w:val="auto"/>
        </w:rPr>
        <w:t>Date: May 13,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6033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3365" cy="17145"/>
                    </a:xfrm>
                    <a:prstGeom prst="rect">
                      <a:avLst/>
                    </a:prstGeom>
                    <a:noFill/>
                  </pic:spPr>
                </pic:pic>
              </a:graphicData>
            </a:graphic>
          </wp:anchor>
        </w:drawing>
      </w:r>
    </w:p>
    <w:p>
      <w:pPr>
        <w:spacing w:after="0" w:line="16"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G. Sample, Jr., certify that:</w:t>
      </w:r>
    </w:p>
    <w:p>
      <w:pPr>
        <w:spacing w:after="0" w:line="25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report on Form 10-Q of Atlantic American Corporation;</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820" w:right="120" w:hanging="326"/>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460" w:right="6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460" w:right="220" w:hanging="318"/>
        <w:spacing w:after="0" w:line="34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460" w:right="260" w:hanging="318"/>
        <w:spacing w:after="0" w:line="264"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460" w:right="520" w:hanging="318"/>
        <w:spacing w:after="0" w:line="342" w:lineRule="auto"/>
        <w:tabs>
          <w:tab w:leader="none" w:pos="14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460" w:right="200" w:hanging="318"/>
        <w:spacing w:after="0" w:line="27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80"/>
        <w:spacing w:after="0"/>
        <w:tabs>
          <w:tab w:leader="none" w:pos="7160" w:val="left"/>
        </w:tabs>
        <w:rPr>
          <w:sz w:val="20"/>
          <w:szCs w:val="20"/>
          <w:color w:val="auto"/>
        </w:rPr>
      </w:pPr>
      <w:r>
        <w:rPr>
          <w:rFonts w:ascii="Arial" w:cs="Arial" w:eastAsia="Arial" w:hAnsi="Arial"/>
          <w:sz w:val="18"/>
          <w:szCs w:val="18"/>
          <w:color w:val="auto"/>
        </w:rPr>
        <w:t>Date: May 13,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5258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1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w:t>
      </w:r>
    </w:p>
    <w:p>
      <w:pPr>
        <w:spacing w:after="0" w:line="252" w:lineRule="exact"/>
        <w:rPr>
          <w:sz w:val="20"/>
          <w:szCs w:val="20"/>
          <w:color w:val="auto"/>
        </w:rPr>
      </w:pPr>
    </w:p>
    <w:p>
      <w:pPr>
        <w:jc w:val="both"/>
        <w:ind w:right="380" w:firstLine="486"/>
        <w:spacing w:after="0" w:line="312" w:lineRule="auto"/>
        <w:rPr>
          <w:sz w:val="20"/>
          <w:szCs w:val="20"/>
          <w:color w:val="auto"/>
        </w:rPr>
      </w:pPr>
      <w:r>
        <w:rPr>
          <w:rFonts w:ascii="Arial" w:cs="Arial" w:eastAsia="Arial" w:hAnsi="Arial"/>
          <w:sz w:val="16"/>
          <w:szCs w:val="16"/>
          <w:color w:val="auto"/>
        </w:rPr>
        <w:t>Pursuant to 18 U.S.C. §1350, as adopted pursuant to Section 906 of the Sarbanes-Oxley Act of 2002, in connection with the filing of the Quarterly Report on Form 10-Q of Atlantic American Corporation (the “Company”) for the quarterly period ended March 31, 2014, as filed with the Securities and Exchange Commission on the date hereof (the “Report”), each of the undersigned officers of the Company certifies, that, to such officer’s knowledge:</w:t>
      </w:r>
    </w:p>
    <w:p>
      <w:pPr>
        <w:spacing w:after="0" w:line="17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52"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1" w:lineRule="exact"/>
        <w:rPr>
          <w:sz w:val="20"/>
          <w:szCs w:val="20"/>
          <w:color w:val="auto"/>
        </w:rPr>
      </w:pPr>
    </w:p>
    <w:p>
      <w:pPr>
        <w:ind w:left="500"/>
        <w:spacing w:after="0"/>
        <w:tabs>
          <w:tab w:leader="none" w:pos="56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2014</w:t>
      </w:r>
      <w:r>
        <w:rPr>
          <w:sz w:val="20"/>
          <w:szCs w:val="20"/>
          <w:color w:val="auto"/>
        </w:rPr>
        <w:tab/>
      </w:r>
      <w:r>
        <w:rPr>
          <w:rFonts w:ascii="Arial" w:cs="Arial" w:eastAsia="Arial" w:hAnsi="Arial"/>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14605</wp:posOffset>
            </wp:positionV>
            <wp:extent cx="2675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Hilton H. Howell, Jr.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00"/>
        <w:spacing w:after="0"/>
        <w:tabs>
          <w:tab w:leader="none" w:pos="56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13, 2014</w:t>
      </w:r>
      <w:r>
        <w:rPr>
          <w:sz w:val="20"/>
          <w:szCs w:val="20"/>
          <w:color w:val="auto"/>
        </w:rPr>
        <w:tab/>
      </w:r>
      <w:r>
        <w:rPr>
          <w:rFonts w:ascii="Arial" w:cs="Arial" w:eastAsia="Arial" w:hAnsi="Arial"/>
          <w:sz w:val="15"/>
          <w:szCs w:val="15"/>
          <w:color w:val="auto"/>
        </w:rPr>
        <w:t>/s/ John G. Sample,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14605</wp:posOffset>
            </wp:positionV>
            <wp:extent cx="2675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John G. Sample, Jr.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300990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2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2019-12-05T03:20:45Z</dcterms:created>
  <dcterms:modified xsi:type="dcterms:W3CDTF">2019-12-05T03:20:45Z</dcterms:modified>
</cp:coreProperties>
</file>